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</w:rPr>
        <w:drawing>
          <wp:inline distT="0" distB="0" distL="0" distR="0">
            <wp:extent cx="1958096" cy="939800"/>
            <wp:effectExtent l="0" t="0" r="0" b="0"/>
            <wp:docPr id="1073741825" name="officeArt object" descr="C:\Documents and Settings\Piotr\Pulpit\tallinn-u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C:\Documents and Settings\Piotr\Pulpit\tallinn-uni.jp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58096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</w:rPr>
        <w:drawing>
          <wp:inline distT="0" distB="0" distL="0" distR="0">
            <wp:extent cx="1530350" cy="870415"/>
            <wp:effectExtent l="0" t="0" r="0" b="0"/>
            <wp:docPr id="1073741826" name="officeArt object" descr="C:\Documents and Settings\Piotr\Pulpit\MultiLingNet\logo stowarzysze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Documents and Settings\Piotr\Pulpit\MultiLingNet\logo stowarzyszenia.jp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8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Multilingual Awareness and Multilingual Practices</w:t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MAMP18</w:t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Tallinn University, School of Humanities </w:t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ESTONIA</w:t>
      </w:r>
    </w:p>
    <w:p>
      <w:pPr>
        <w:pStyle w:val="Body"/>
        <w:spacing w:after="0" w:line="240" w:lineRule="auto"/>
        <w:jc w:val="center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22-24 November 2018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The conference considers all aspects of the linguistic and sociolinguistic competences and practices of bi-/multilingual speakers who cross existing social and linguistic boundaries, adopting or adapting themselves to new and overlapping linguistic spaces.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We invite papers in all areas of research in bi-/multilingualism, whether or not linked directly to the overarching conference theme, including, but not limited to, linguistics, sociolinguistics, psycholinguistics, neurolinguistics, clinical linguistics, education, bi-/multilingual societies.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Topics will include: (multiple) language acquisition and learning (L3, L4, Lx); psycho- and neurolinguistics of multilingualism; translanguaging; early bilingualism and heritage language development; speech processing in bi-/multilinguals; trans/multilingual language use in different contexts; multilingual education; bi-/multiculturalism; bi-/multilingual language policies; literacy in multiple languages (pluriliteracy); intercultural and globalisation issues related to multilingualism; multilingual issues in literature and translation.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Confirmed speakers are: </w:t>
      </w: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Prof. Ad Backhus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 (Tilburg University, Netherlands), </w:t>
      </w: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Prof. Mila Schwartz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 (Oranim Academic College, Israel) and </w:t>
      </w: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Prof. Anna Verschik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 (Tallinn University, Estonia).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lang w:val="en-US"/>
        </w:rPr>
      </w:pP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  <w:lang w:val="en-US"/>
        </w:rPr>
        <w:t xml:space="preserve">Conference venue: 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Tallinn University, School of Humanities, Narva Mnt 25, 10120 Tallinn</w:t>
      </w: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 (Web)"/>
        <w:spacing w:before="0" w:after="0"/>
        <w:jc w:val="both"/>
        <w:rPr>
          <w:rFonts w:ascii="Garamond" w:cs="Garamond" w:hAnsi="Garamond" w:eastAsia="Garamond"/>
          <w:color w:val="000000"/>
          <w:u w:color="000000"/>
          <w:lang w:val="en-US"/>
        </w:rPr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More information on the venue is to be found here: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http://www.tlu.ee/en/School-of-Humanities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The two categories of proposals are: individual papers and posters.</w:t>
      </w:r>
      <w:r>
        <w:rPr>
          <w:rFonts w:ascii="Garamond" w:cs="Garamond" w:hAnsi="Garamond" w:eastAsia="Garamond"/>
          <w:sz w:val="24"/>
          <w:szCs w:val="24"/>
          <w:rtl w:val="0"/>
          <w:lang w:val="en-US"/>
        </w:rPr>
        <w:t xml:space="preserve"> 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Submission is already open and will close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on </w:t>
      </w:r>
      <w:r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15 August 2018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.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Presenters are requested to submit their abstracts of up to 300 words and include their name, affiliation and email address in the MS-Word documents.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All proposals should be sent to: </w:t>
      </w:r>
      <w:hyperlink r:id="rId6" w:history="1">
        <w:r>
          <w:rPr>
            <w:rStyle w:val="Hyperlink.0"/>
            <w:rFonts w:ascii="Garamond" w:cs="Garamond" w:hAnsi="Garamond" w:eastAsia="Garamond"/>
            <w:sz w:val="24"/>
            <w:szCs w:val="24"/>
            <w:rtl w:val="0"/>
            <w:lang w:val="en-US"/>
          </w:rPr>
          <w:t>mamp.tallinn2018@gmail.com</w:t>
        </w:r>
      </w:hyperlink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More information to be found: </w:t>
      </w:r>
      <w:hyperlink r:id="rId7" w:history="1">
        <w:r>
          <w:rPr>
            <w:rStyle w:val="Hyperlink.0"/>
            <w:rFonts w:ascii="Garamond" w:cs="Garamond" w:hAnsi="Garamond" w:eastAsia="Garamond"/>
            <w:sz w:val="24"/>
            <w:szCs w:val="24"/>
            <w:rtl w:val="0"/>
            <w:lang w:val="en-US"/>
          </w:rPr>
          <w:t>https://mamp18.wordpress.com</w:t>
        </w:r>
      </w:hyperlink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  </w:t>
      </w:r>
    </w:p>
    <w:p>
      <w:pPr>
        <w:pStyle w:val="Body"/>
        <w:spacing w:after="0" w:line="240" w:lineRule="auto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  <w:lang w:val="en-US"/>
        </w:rPr>
      </w:pPr>
    </w:p>
    <w:p>
      <w:pPr>
        <w:pStyle w:val="Body"/>
        <w:spacing w:after="0" w:line="240" w:lineRule="auto"/>
        <w:jc w:val="both"/>
      </w:pP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All presenters will be invited to submit their full papers for publication by February 2019. Selected papers will be published in a newly established journal 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Journal of Bilingual Education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aramond" w:cs="Garamond" w:hAnsi="Garamond" w:eastAsia="Garamond"/>
          <w:color w:val="000000"/>
          <w:sz w:val="24"/>
          <w:szCs w:val="24"/>
          <w:u w:color="000000"/>
          <w:rtl w:val="0"/>
          <w:lang w:val="en-US"/>
        </w:rPr>
        <w:t>(www.jbe.uw.edu.pl)</w:t>
      </w:r>
    </w:p>
    <w:sectPr>
      <w:headerReference w:type="default" r:id="rId8"/>
      <w:footerReference w:type="default" r:id="rId9"/>
      <w:pgSz w:w="11900" w:h="16840" w:orient="portrait"/>
      <w:pgMar w:top="70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aramond" w:cs="Garamond" w:hAnsi="Garamond" w:eastAsia="Garamond"/>
      <w:sz w:val="24"/>
      <w:szCs w:val="24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image" Target="media/image1.jpg"/><Relationship Id="rId6" Type="http://schemas.openxmlformats.org/officeDocument/2006/relationships/hyperlink" Target="mailto:mamp.tallinn2018@gmail.com" TargetMode="External"/><Relationship Id="rId7" Type="http://schemas.openxmlformats.org/officeDocument/2006/relationships/hyperlink" Target="https://mamp18.wordpress.com" TargetMode="External"/><Relationship Id="rId8" Type="http://schemas.openxmlformats.org/officeDocument/2006/relationships/header" Target="header.xml"/><Relationship Id="rId9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