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049D2" w14:textId="3255EFA3" w:rsidR="009378B7" w:rsidRDefault="00D66FD0" w:rsidP="00921208">
      <w:pPr>
        <w:widowControl w:val="0"/>
        <w:autoSpaceDE w:val="0"/>
        <w:autoSpaceDN w:val="0"/>
        <w:adjustRightInd w:val="0"/>
        <w:spacing w:after="0" w:line="280" w:lineRule="atLeast"/>
        <w:rPr>
          <w:rFonts w:eastAsia="Times New Roman" w:cs="Helvetica"/>
          <w:b/>
          <w:bCs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179DADCB" w14:textId="77777777" w:rsidR="006353A6" w:rsidRDefault="006353A6" w:rsidP="00BA2565">
      <w:pPr>
        <w:spacing w:after="0" w:line="293" w:lineRule="atLeast"/>
        <w:jc w:val="center"/>
        <w:rPr>
          <w:rFonts w:eastAsia="Times New Roman" w:cs="Helvetica"/>
          <w:b/>
          <w:bCs/>
          <w:color w:val="000000"/>
          <w:sz w:val="36"/>
          <w:szCs w:val="24"/>
        </w:rPr>
      </w:pPr>
    </w:p>
    <w:p w14:paraId="74E933B2" w14:textId="5BB7073E" w:rsidR="00BA2565" w:rsidRPr="009378B7" w:rsidRDefault="00BA2565" w:rsidP="00BA2565">
      <w:pPr>
        <w:spacing w:after="0" w:line="293" w:lineRule="atLeast"/>
        <w:jc w:val="center"/>
        <w:rPr>
          <w:rFonts w:eastAsia="Times New Roman" w:cs="Helvetica"/>
          <w:color w:val="000000"/>
          <w:sz w:val="36"/>
          <w:szCs w:val="24"/>
        </w:rPr>
      </w:pPr>
      <w:r w:rsidRPr="009378B7">
        <w:rPr>
          <w:rFonts w:eastAsia="Times New Roman" w:cs="Helvetica"/>
          <w:b/>
          <w:bCs/>
          <w:color w:val="000000"/>
          <w:sz w:val="36"/>
          <w:szCs w:val="24"/>
        </w:rPr>
        <w:t>CALL FOR PAPERS</w:t>
      </w:r>
    </w:p>
    <w:p w14:paraId="31713C69" w14:textId="77777777" w:rsidR="00BA2565" w:rsidRPr="005E6568" w:rsidRDefault="00BA2565" w:rsidP="00BA2565">
      <w:pPr>
        <w:spacing w:after="0" w:line="293" w:lineRule="atLeast"/>
        <w:jc w:val="center"/>
        <w:rPr>
          <w:rFonts w:eastAsia="Times New Roman" w:cs="Helvetica"/>
          <w:color w:val="000000"/>
          <w:sz w:val="24"/>
          <w:szCs w:val="24"/>
          <w:highlight w:val="yellow"/>
        </w:rPr>
      </w:pPr>
    </w:p>
    <w:p w14:paraId="552D9EF7" w14:textId="3E9ED448" w:rsidR="000A1563" w:rsidRPr="009378B7" w:rsidRDefault="000A1563" w:rsidP="00BA2565">
      <w:pPr>
        <w:spacing w:after="0" w:line="293" w:lineRule="atLeast"/>
        <w:jc w:val="center"/>
        <w:rPr>
          <w:rFonts w:eastAsia="Times New Roman" w:cs="Helvetica"/>
          <w:b/>
          <w:bCs/>
          <w:color w:val="000000"/>
          <w:sz w:val="32"/>
          <w:szCs w:val="24"/>
        </w:rPr>
      </w:pPr>
      <w:r w:rsidRPr="009378B7">
        <w:rPr>
          <w:rFonts w:eastAsia="Times New Roman" w:cs="Helvetica"/>
          <w:b/>
          <w:bCs/>
          <w:color w:val="000000"/>
          <w:sz w:val="32"/>
          <w:szCs w:val="24"/>
        </w:rPr>
        <w:t xml:space="preserve">SSTI Research </w:t>
      </w:r>
      <w:r w:rsidR="009D56CC" w:rsidRPr="009378B7">
        <w:rPr>
          <w:rFonts w:eastAsia="Times New Roman" w:cs="Helvetica"/>
          <w:b/>
          <w:bCs/>
          <w:color w:val="000000"/>
          <w:sz w:val="32"/>
          <w:szCs w:val="24"/>
        </w:rPr>
        <w:t>Conference</w:t>
      </w:r>
      <w:r w:rsidRPr="009378B7">
        <w:rPr>
          <w:rFonts w:eastAsia="Times New Roman" w:cs="Helvetica"/>
          <w:b/>
          <w:bCs/>
          <w:color w:val="000000"/>
          <w:sz w:val="32"/>
          <w:szCs w:val="24"/>
        </w:rPr>
        <w:t xml:space="preserve"> 2018</w:t>
      </w:r>
    </w:p>
    <w:p w14:paraId="6A34399F" w14:textId="77777777" w:rsidR="009378B7" w:rsidRDefault="00BA2565" w:rsidP="00BA2565">
      <w:pPr>
        <w:spacing w:after="0" w:line="293" w:lineRule="atLeast"/>
        <w:jc w:val="center"/>
        <w:rPr>
          <w:rFonts w:eastAsia="Times New Roman" w:cs="Helvetica"/>
          <w:b/>
          <w:bCs/>
          <w:color w:val="000000"/>
          <w:sz w:val="28"/>
          <w:szCs w:val="24"/>
        </w:rPr>
      </w:pPr>
      <w:r w:rsidRPr="009378B7">
        <w:rPr>
          <w:rFonts w:eastAsia="Times New Roman" w:cs="Helvetica"/>
          <w:b/>
          <w:bCs/>
          <w:color w:val="000000"/>
          <w:sz w:val="28"/>
          <w:szCs w:val="24"/>
        </w:rPr>
        <w:t xml:space="preserve"> </w:t>
      </w:r>
      <w:r w:rsidR="0026704B" w:rsidRPr="009378B7">
        <w:rPr>
          <w:rFonts w:eastAsia="Times New Roman" w:cs="Helvetica"/>
          <w:b/>
          <w:bCs/>
          <w:color w:val="000000"/>
          <w:sz w:val="28"/>
          <w:szCs w:val="24"/>
        </w:rPr>
        <w:t>Judiciary</w:t>
      </w:r>
      <w:r w:rsidR="009D56CC" w:rsidRPr="009378B7">
        <w:rPr>
          <w:rFonts w:eastAsia="Times New Roman" w:cs="Helvetica"/>
          <w:b/>
          <w:bCs/>
          <w:color w:val="000000"/>
          <w:sz w:val="28"/>
          <w:szCs w:val="24"/>
        </w:rPr>
        <w:t xml:space="preserve"> Interpret</w:t>
      </w:r>
      <w:r w:rsidR="000A1563" w:rsidRPr="009378B7">
        <w:rPr>
          <w:rFonts w:eastAsia="Times New Roman" w:cs="Helvetica"/>
          <w:b/>
          <w:bCs/>
          <w:color w:val="000000"/>
          <w:sz w:val="28"/>
          <w:szCs w:val="24"/>
        </w:rPr>
        <w:t>ing:</w:t>
      </w:r>
      <w:r w:rsidR="009D56CC" w:rsidRPr="009378B7">
        <w:rPr>
          <w:rFonts w:eastAsia="Times New Roman" w:cs="Helvetica"/>
          <w:b/>
          <w:bCs/>
          <w:color w:val="000000"/>
          <w:sz w:val="28"/>
          <w:szCs w:val="24"/>
        </w:rPr>
        <w:t xml:space="preserve"> </w:t>
      </w:r>
      <w:r w:rsidR="000A1563" w:rsidRPr="009378B7">
        <w:rPr>
          <w:rFonts w:eastAsia="Times New Roman" w:cs="Helvetica"/>
          <w:b/>
          <w:bCs/>
          <w:color w:val="000000"/>
          <w:sz w:val="28"/>
          <w:szCs w:val="24"/>
        </w:rPr>
        <w:t xml:space="preserve">Moving Forward </w:t>
      </w:r>
    </w:p>
    <w:p w14:paraId="60274EA7" w14:textId="62582299" w:rsidR="00BA2565" w:rsidRPr="009378B7" w:rsidRDefault="0026704B" w:rsidP="00BA2565">
      <w:pPr>
        <w:spacing w:after="0" w:line="293" w:lineRule="atLeast"/>
        <w:jc w:val="center"/>
        <w:rPr>
          <w:rFonts w:eastAsia="Times New Roman" w:cs="Helvetica"/>
          <w:color w:val="000000"/>
          <w:sz w:val="28"/>
          <w:szCs w:val="24"/>
        </w:rPr>
      </w:pPr>
      <w:r w:rsidRPr="009378B7">
        <w:rPr>
          <w:rFonts w:eastAsia="Times New Roman" w:cs="Helvetica"/>
          <w:b/>
          <w:bCs/>
          <w:color w:val="000000"/>
          <w:sz w:val="28"/>
          <w:szCs w:val="24"/>
        </w:rPr>
        <w:t>with Standards for Training and Education</w:t>
      </w:r>
    </w:p>
    <w:p w14:paraId="5F013395" w14:textId="77777777" w:rsidR="00BA2565" w:rsidRPr="005E6568" w:rsidRDefault="00BA2565" w:rsidP="00BA2565">
      <w:pPr>
        <w:spacing w:after="0" w:line="293" w:lineRule="atLeast"/>
        <w:jc w:val="center"/>
        <w:rPr>
          <w:rFonts w:eastAsia="Times New Roman" w:cs="Helvetica"/>
          <w:color w:val="000000"/>
          <w:sz w:val="24"/>
          <w:szCs w:val="24"/>
          <w:highlight w:val="yellow"/>
        </w:rPr>
      </w:pPr>
    </w:p>
    <w:p w14:paraId="4C24CFF1" w14:textId="70210BE3" w:rsidR="00BA2565" w:rsidRPr="0026704B" w:rsidRDefault="00995C2F" w:rsidP="00BA2565">
      <w:pPr>
        <w:spacing w:after="0" w:line="293" w:lineRule="atLeast"/>
        <w:jc w:val="center"/>
        <w:rPr>
          <w:rFonts w:eastAsia="Times New Roman" w:cs="Helvetica"/>
          <w:color w:val="000000"/>
          <w:sz w:val="24"/>
          <w:szCs w:val="24"/>
        </w:rPr>
      </w:pPr>
      <w:r w:rsidRPr="0026704B">
        <w:rPr>
          <w:rFonts w:eastAsia="Times New Roman" w:cs="Helvetica"/>
          <w:b/>
          <w:bCs/>
          <w:color w:val="000000"/>
          <w:sz w:val="24"/>
          <w:szCs w:val="24"/>
        </w:rPr>
        <w:t xml:space="preserve">San Francisco: </w:t>
      </w:r>
      <w:r w:rsidR="000A1563" w:rsidRPr="0026704B">
        <w:rPr>
          <w:rFonts w:eastAsia="Times New Roman" w:cs="Helvetica"/>
          <w:b/>
          <w:bCs/>
          <w:color w:val="000000"/>
          <w:sz w:val="24"/>
          <w:szCs w:val="24"/>
        </w:rPr>
        <w:t>June</w:t>
      </w:r>
      <w:r w:rsidR="00F44AFB" w:rsidRPr="0026704B">
        <w:rPr>
          <w:rFonts w:eastAsia="Times New Roman" w:cs="Helvetica"/>
          <w:b/>
          <w:bCs/>
          <w:color w:val="000000"/>
          <w:sz w:val="24"/>
          <w:szCs w:val="24"/>
        </w:rPr>
        <w:t xml:space="preserve"> 7</w:t>
      </w:r>
      <w:r w:rsidR="000A1563" w:rsidRPr="0026704B">
        <w:rPr>
          <w:rFonts w:eastAsia="Times New Roman" w:cs="Helvetica"/>
          <w:b/>
          <w:bCs/>
          <w:color w:val="000000"/>
          <w:sz w:val="24"/>
          <w:szCs w:val="24"/>
        </w:rPr>
        <w:t>, 2018</w:t>
      </w:r>
    </w:p>
    <w:p w14:paraId="3B4A3135" w14:textId="77777777" w:rsidR="00BA2565" w:rsidRPr="005E6568" w:rsidRDefault="00BA2565" w:rsidP="00BA2565">
      <w:pPr>
        <w:spacing w:after="0" w:line="293" w:lineRule="atLeast"/>
        <w:jc w:val="center"/>
        <w:rPr>
          <w:rFonts w:eastAsia="Times New Roman" w:cs="Helvetica"/>
          <w:color w:val="000000"/>
          <w:sz w:val="24"/>
          <w:szCs w:val="24"/>
          <w:highlight w:val="yellow"/>
        </w:rPr>
      </w:pPr>
    </w:p>
    <w:p w14:paraId="284EA43C" w14:textId="570D5AB3" w:rsidR="003B52E3" w:rsidRPr="0026704B" w:rsidRDefault="00BA2565" w:rsidP="003B52E3">
      <w:pPr>
        <w:spacing w:after="0" w:line="293" w:lineRule="atLeast"/>
        <w:rPr>
          <w:rFonts w:eastAsia="Times New Roman" w:cs="Helvetica"/>
          <w:b/>
          <w:bCs/>
          <w:color w:val="000000"/>
          <w:sz w:val="24"/>
          <w:szCs w:val="24"/>
        </w:rPr>
      </w:pPr>
      <w:r w:rsidRPr="0026704B">
        <w:rPr>
          <w:rFonts w:eastAsia="Times New Roman" w:cs="Helvetica"/>
          <w:b/>
          <w:bCs/>
          <w:color w:val="000000"/>
          <w:sz w:val="24"/>
          <w:szCs w:val="24"/>
        </w:rPr>
        <w:t>Keynote Speaker</w:t>
      </w:r>
      <w:r w:rsidR="00F44AFB" w:rsidRPr="0026704B">
        <w:rPr>
          <w:rFonts w:eastAsia="Times New Roman" w:cs="Helvetica"/>
          <w:b/>
          <w:bCs/>
          <w:color w:val="000000"/>
          <w:sz w:val="24"/>
          <w:szCs w:val="24"/>
        </w:rPr>
        <w:t xml:space="preserve">s: </w:t>
      </w:r>
      <w:r w:rsidR="0026704B" w:rsidRPr="0026704B">
        <w:rPr>
          <w:rFonts w:eastAsia="Times New Roman" w:cs="Helvetica"/>
          <w:bCs/>
          <w:color w:val="000000"/>
          <w:sz w:val="24"/>
          <w:szCs w:val="24"/>
        </w:rPr>
        <w:t>To be announced</w:t>
      </w:r>
    </w:p>
    <w:p w14:paraId="6BFF4D70" w14:textId="77777777" w:rsidR="00F113C6" w:rsidRPr="005E6568" w:rsidRDefault="00F113C6" w:rsidP="003B52E3">
      <w:pPr>
        <w:spacing w:after="0" w:line="293" w:lineRule="atLeast"/>
        <w:rPr>
          <w:rFonts w:eastAsia="Times New Roman" w:cs="Helvetica"/>
          <w:color w:val="000000"/>
          <w:sz w:val="24"/>
          <w:szCs w:val="24"/>
          <w:highlight w:val="yellow"/>
        </w:rPr>
      </w:pPr>
    </w:p>
    <w:p w14:paraId="3C4AB201" w14:textId="68CB3F64" w:rsidR="00A01C07" w:rsidRPr="005E6568" w:rsidRDefault="007F682B" w:rsidP="005E6568">
      <w:pPr>
        <w:jc w:val="both"/>
        <w:rPr>
          <w:sz w:val="24"/>
          <w:szCs w:val="24"/>
        </w:rPr>
      </w:pPr>
      <w:r w:rsidRPr="005E6568">
        <w:rPr>
          <w:sz w:val="24"/>
          <w:szCs w:val="24"/>
        </w:rPr>
        <w:t>The Society for the Study of Translation and Interpretation (SSTI)</w:t>
      </w:r>
      <w:r w:rsidR="000A1563">
        <w:rPr>
          <w:sz w:val="24"/>
          <w:szCs w:val="24"/>
        </w:rPr>
        <w:t xml:space="preserve"> is</w:t>
      </w:r>
      <w:r w:rsidRPr="005E6568">
        <w:rPr>
          <w:sz w:val="24"/>
          <w:szCs w:val="24"/>
        </w:rPr>
        <w:t xml:space="preserve"> </w:t>
      </w:r>
      <w:r w:rsidR="00D66FD0">
        <w:rPr>
          <w:sz w:val="24"/>
          <w:szCs w:val="24"/>
        </w:rPr>
        <w:t xml:space="preserve">the </w:t>
      </w:r>
      <w:r w:rsidRPr="00995C2F">
        <w:rPr>
          <w:rFonts w:eastAsia="Times New Roman" w:cs="Times New Roman"/>
          <w:color w:val="1D2129"/>
          <w:spacing w:val="-4"/>
          <w:sz w:val="24"/>
          <w:szCs w:val="24"/>
          <w:shd w:val="clear" w:color="auto" w:fill="FFFFFF"/>
        </w:rPr>
        <w:t>non-profit educational and research foundation</w:t>
      </w:r>
      <w:r w:rsidR="00D66FD0">
        <w:rPr>
          <w:rFonts w:eastAsia="Times New Roman" w:cs="Times New Roman"/>
          <w:color w:val="1D2129"/>
          <w:spacing w:val="-4"/>
          <w:sz w:val="24"/>
          <w:szCs w:val="24"/>
          <w:shd w:val="clear" w:color="auto" w:fill="FFFFFF"/>
        </w:rPr>
        <w:t xml:space="preserve"> of NAJIT, the National Association of Judiciary Interpreters and Translators</w:t>
      </w:r>
      <w:r w:rsidR="000A1563">
        <w:rPr>
          <w:rFonts w:eastAsia="Times New Roman" w:cs="Times New Roman"/>
          <w:color w:val="1D2129"/>
          <w:spacing w:val="-4"/>
          <w:sz w:val="24"/>
          <w:szCs w:val="24"/>
          <w:shd w:val="clear" w:color="auto" w:fill="FFFFFF"/>
        </w:rPr>
        <w:t xml:space="preserve">. One </w:t>
      </w:r>
      <w:r w:rsidR="00A01C07" w:rsidRPr="005E6568">
        <w:rPr>
          <w:rFonts w:eastAsia="Times New Roman" w:cs="Times New Roman"/>
          <w:color w:val="1D2129"/>
          <w:spacing w:val="-4"/>
          <w:sz w:val="24"/>
          <w:szCs w:val="24"/>
          <w:shd w:val="clear" w:color="auto" w:fill="FFFFFF"/>
        </w:rPr>
        <w:t xml:space="preserve">of its </w:t>
      </w:r>
      <w:r w:rsidR="000A1563">
        <w:rPr>
          <w:rFonts w:eastAsia="Times New Roman" w:cs="Times New Roman"/>
          <w:color w:val="1D2129"/>
          <w:spacing w:val="-4"/>
          <w:sz w:val="24"/>
          <w:szCs w:val="24"/>
          <w:shd w:val="clear" w:color="auto" w:fill="FFFFFF"/>
        </w:rPr>
        <w:t>goals is</w:t>
      </w:r>
      <w:r w:rsidR="00A01C07" w:rsidRPr="005E6568">
        <w:rPr>
          <w:rFonts w:eastAsia="Times New Roman" w:cs="Times New Roman"/>
          <w:color w:val="1D2129"/>
          <w:spacing w:val="-4"/>
          <w:sz w:val="24"/>
          <w:szCs w:val="24"/>
          <w:shd w:val="clear" w:color="auto" w:fill="FFFFFF"/>
        </w:rPr>
        <w:t xml:space="preserve"> </w:t>
      </w:r>
      <w:r w:rsidR="009263D6">
        <w:rPr>
          <w:rFonts w:eastAsia="Times New Roman" w:cs="Times New Roman"/>
          <w:color w:val="1D2129"/>
          <w:spacing w:val="-4"/>
          <w:sz w:val="24"/>
          <w:szCs w:val="24"/>
          <w:shd w:val="clear" w:color="auto" w:fill="FFFFFF"/>
        </w:rPr>
        <w:t xml:space="preserve">to </w:t>
      </w:r>
      <w:r w:rsidR="000A1563">
        <w:rPr>
          <w:rFonts w:eastAsia="Times New Roman" w:cs="Times New Roman"/>
          <w:color w:val="1D2129"/>
          <w:spacing w:val="-4"/>
          <w:sz w:val="24"/>
          <w:szCs w:val="24"/>
          <w:shd w:val="clear" w:color="auto" w:fill="FFFFFF"/>
        </w:rPr>
        <w:t xml:space="preserve">foster </w:t>
      </w:r>
      <w:r w:rsidR="00A01C07" w:rsidRPr="005E6568">
        <w:rPr>
          <w:rFonts w:eastAsia="Times New Roman" w:cs="Times New Roman"/>
          <w:color w:val="1D2129"/>
          <w:spacing w:val="-4"/>
          <w:sz w:val="24"/>
          <w:szCs w:val="24"/>
          <w:shd w:val="clear" w:color="auto" w:fill="FFFFFF"/>
        </w:rPr>
        <w:t xml:space="preserve">connections </w:t>
      </w:r>
      <w:r w:rsidRPr="005E6568">
        <w:rPr>
          <w:rFonts w:eastAsia="Calibri" w:cs="Calibri"/>
          <w:sz w:val="24"/>
          <w:szCs w:val="24"/>
        </w:rPr>
        <w:t xml:space="preserve">between empirical research and the actual practice of judiciary interpreting and </w:t>
      </w:r>
      <w:r w:rsidR="000A1563">
        <w:rPr>
          <w:rFonts w:eastAsia="Calibri" w:cs="Calibri"/>
          <w:sz w:val="24"/>
          <w:szCs w:val="24"/>
        </w:rPr>
        <w:t xml:space="preserve">legal </w:t>
      </w:r>
      <w:r w:rsidRPr="005E6568">
        <w:rPr>
          <w:rFonts w:eastAsia="Calibri" w:cs="Calibri"/>
          <w:sz w:val="24"/>
          <w:szCs w:val="24"/>
        </w:rPr>
        <w:t xml:space="preserve">translation. </w:t>
      </w:r>
      <w:r w:rsidR="000A1563">
        <w:rPr>
          <w:rFonts w:eastAsia="Calibri" w:cs="Calibri"/>
          <w:sz w:val="24"/>
          <w:szCs w:val="24"/>
        </w:rPr>
        <w:t>During the NAJIT 2017 Annual Conference SSTI sponsored a panel on</w:t>
      </w:r>
      <w:r w:rsidRPr="005E6568">
        <w:rPr>
          <w:sz w:val="24"/>
          <w:szCs w:val="24"/>
        </w:rPr>
        <w:t xml:space="preserve"> </w:t>
      </w:r>
      <w:r w:rsidRPr="005E6568">
        <w:rPr>
          <w:i/>
          <w:sz w:val="24"/>
          <w:szCs w:val="24"/>
        </w:rPr>
        <w:t>Building bridges between theory and practice: Evidence-based research in legal interpreting and translation</w:t>
      </w:r>
      <w:r w:rsidR="00A01C07" w:rsidRPr="005E6568">
        <w:rPr>
          <w:sz w:val="24"/>
          <w:szCs w:val="24"/>
        </w:rPr>
        <w:t xml:space="preserve">, </w:t>
      </w:r>
      <w:r w:rsidR="001A79EA">
        <w:rPr>
          <w:sz w:val="24"/>
          <w:szCs w:val="24"/>
        </w:rPr>
        <w:t>which</w:t>
      </w:r>
      <w:r w:rsidR="000A1563">
        <w:rPr>
          <w:sz w:val="24"/>
          <w:szCs w:val="24"/>
        </w:rPr>
        <w:t xml:space="preserve"> raised s</w:t>
      </w:r>
      <w:r w:rsidR="001A79EA">
        <w:rPr>
          <w:sz w:val="24"/>
          <w:szCs w:val="24"/>
        </w:rPr>
        <w:t>o much</w:t>
      </w:r>
      <w:r w:rsidR="000A1563">
        <w:rPr>
          <w:sz w:val="24"/>
          <w:szCs w:val="24"/>
        </w:rPr>
        <w:t xml:space="preserve"> interest among </w:t>
      </w:r>
      <w:r w:rsidR="001A79EA">
        <w:rPr>
          <w:sz w:val="24"/>
          <w:szCs w:val="24"/>
        </w:rPr>
        <w:t xml:space="preserve">NAJIT members that </w:t>
      </w:r>
      <w:r w:rsidR="002756E8">
        <w:rPr>
          <w:sz w:val="24"/>
          <w:szCs w:val="24"/>
        </w:rPr>
        <w:t>SSTI</w:t>
      </w:r>
      <w:r w:rsidR="001A79EA">
        <w:rPr>
          <w:sz w:val="24"/>
          <w:szCs w:val="24"/>
        </w:rPr>
        <w:t xml:space="preserve"> </w:t>
      </w:r>
      <w:r w:rsidR="00862667">
        <w:rPr>
          <w:sz w:val="24"/>
          <w:szCs w:val="24"/>
        </w:rPr>
        <w:t>decided to</w:t>
      </w:r>
      <w:r w:rsidR="001A79EA">
        <w:rPr>
          <w:sz w:val="24"/>
          <w:szCs w:val="24"/>
        </w:rPr>
        <w:t xml:space="preserve"> sponsor it</w:t>
      </w:r>
      <w:r w:rsidR="002756E8">
        <w:rPr>
          <w:sz w:val="24"/>
          <w:szCs w:val="24"/>
        </w:rPr>
        <w:t xml:space="preserve">s first conference </w:t>
      </w:r>
      <w:r w:rsidR="001A79EA">
        <w:rPr>
          <w:sz w:val="24"/>
          <w:szCs w:val="24"/>
        </w:rPr>
        <w:t>along the same lines</w:t>
      </w:r>
      <w:r w:rsidR="002756E8">
        <w:rPr>
          <w:sz w:val="24"/>
          <w:szCs w:val="24"/>
        </w:rPr>
        <w:t>.</w:t>
      </w:r>
    </w:p>
    <w:p w14:paraId="6EB24EE7" w14:textId="171EA709" w:rsidR="009263D6" w:rsidRDefault="009263D6" w:rsidP="009263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Given widespread consensus among educators and practitioners alike about the highly under-researched nature of evidence-driven standards of training and education, </w:t>
      </w:r>
      <w:r w:rsidR="001A79EA">
        <w:rPr>
          <w:sz w:val="24"/>
          <w:szCs w:val="24"/>
        </w:rPr>
        <w:t xml:space="preserve">SSTI is calling for research papers that address </w:t>
      </w:r>
      <w:r>
        <w:rPr>
          <w:sz w:val="24"/>
          <w:szCs w:val="24"/>
        </w:rPr>
        <w:t>current gaps in these standards</w:t>
      </w:r>
      <w:r w:rsidR="00F113C6" w:rsidRPr="005E6568">
        <w:rPr>
          <w:sz w:val="24"/>
          <w:szCs w:val="24"/>
        </w:rPr>
        <w:t xml:space="preserve"> for </w:t>
      </w:r>
      <w:r w:rsidR="001A79EA">
        <w:rPr>
          <w:sz w:val="24"/>
          <w:szCs w:val="24"/>
        </w:rPr>
        <w:t xml:space="preserve">judiciary </w:t>
      </w:r>
      <w:r w:rsidR="00F113C6" w:rsidRPr="005E6568">
        <w:rPr>
          <w:sz w:val="24"/>
          <w:szCs w:val="24"/>
        </w:rPr>
        <w:t>interpreter</w:t>
      </w:r>
      <w:r w:rsidR="001A79EA">
        <w:rPr>
          <w:sz w:val="24"/>
          <w:szCs w:val="24"/>
        </w:rPr>
        <w:t>s</w:t>
      </w:r>
      <w:r w:rsidR="00514A37">
        <w:rPr>
          <w:sz w:val="24"/>
          <w:szCs w:val="24"/>
        </w:rPr>
        <w:t>. SSTI is</w:t>
      </w:r>
      <w:r w:rsidR="001A79EA">
        <w:rPr>
          <w:sz w:val="24"/>
          <w:szCs w:val="24"/>
        </w:rPr>
        <w:t xml:space="preserve"> particular</w:t>
      </w:r>
      <w:r w:rsidR="00514A37">
        <w:rPr>
          <w:sz w:val="24"/>
          <w:szCs w:val="24"/>
        </w:rPr>
        <w:t>ly</w:t>
      </w:r>
      <w:r w:rsidR="001A79EA">
        <w:rPr>
          <w:sz w:val="24"/>
          <w:szCs w:val="24"/>
        </w:rPr>
        <w:t xml:space="preserve"> interest</w:t>
      </w:r>
      <w:r w:rsidR="00514A37">
        <w:rPr>
          <w:sz w:val="24"/>
          <w:szCs w:val="24"/>
        </w:rPr>
        <w:t>ed</w:t>
      </w:r>
      <w:r w:rsidR="001A79EA">
        <w:rPr>
          <w:sz w:val="24"/>
          <w:szCs w:val="24"/>
        </w:rPr>
        <w:t xml:space="preserve"> in how </w:t>
      </w:r>
      <w:r w:rsidR="00514A37">
        <w:rPr>
          <w:sz w:val="24"/>
          <w:szCs w:val="24"/>
        </w:rPr>
        <w:t xml:space="preserve">empirical evidence is </w:t>
      </w:r>
      <w:r w:rsidR="001A79EA">
        <w:rPr>
          <w:sz w:val="24"/>
          <w:szCs w:val="24"/>
        </w:rPr>
        <w:t xml:space="preserve">linked to standards of practice in the United States and </w:t>
      </w:r>
      <w:r w:rsidR="00514A37">
        <w:rPr>
          <w:sz w:val="24"/>
          <w:szCs w:val="24"/>
        </w:rPr>
        <w:t>elsewhere</w:t>
      </w:r>
      <w:r>
        <w:rPr>
          <w:sz w:val="24"/>
          <w:szCs w:val="24"/>
        </w:rPr>
        <w:t xml:space="preserve"> as well as</w:t>
      </w:r>
      <w:r w:rsidR="00885959">
        <w:rPr>
          <w:sz w:val="24"/>
          <w:szCs w:val="24"/>
        </w:rPr>
        <w:t xml:space="preserve"> to training </w:t>
      </w:r>
      <w:r w:rsidR="00514A37">
        <w:rPr>
          <w:sz w:val="24"/>
          <w:szCs w:val="24"/>
        </w:rPr>
        <w:t xml:space="preserve">and how it </w:t>
      </w:r>
      <w:r w:rsidR="00885959">
        <w:rPr>
          <w:sz w:val="24"/>
          <w:szCs w:val="24"/>
        </w:rPr>
        <w:t>is correlated with</w:t>
      </w:r>
      <w:r>
        <w:rPr>
          <w:sz w:val="24"/>
          <w:szCs w:val="24"/>
        </w:rPr>
        <w:t xml:space="preserve"> credentialing practices. Justifiably, </w:t>
      </w:r>
      <w:r w:rsidRPr="005E6568">
        <w:rPr>
          <w:sz w:val="24"/>
          <w:szCs w:val="24"/>
        </w:rPr>
        <w:t xml:space="preserve">Claudia </w:t>
      </w:r>
      <w:proofErr w:type="spellStart"/>
      <w:r w:rsidRPr="005E6568">
        <w:rPr>
          <w:sz w:val="24"/>
          <w:szCs w:val="24"/>
        </w:rPr>
        <w:t>Angelelli</w:t>
      </w:r>
      <w:proofErr w:type="spellEnd"/>
      <w:r w:rsidRPr="005E6568">
        <w:rPr>
          <w:sz w:val="24"/>
          <w:szCs w:val="24"/>
        </w:rPr>
        <w:t xml:space="preserve"> has described the US’s approach to interpreter training and testing as “putting the cart before the horse,</w:t>
      </w:r>
      <w:r w:rsidRPr="005E6568">
        <w:rPr>
          <w:rStyle w:val="FootnoteReference"/>
          <w:sz w:val="24"/>
          <w:szCs w:val="24"/>
        </w:rPr>
        <w:footnoteReference w:id="1"/>
      </w:r>
      <w:r w:rsidRPr="005E6568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resulting in accreditation mechanisms that lack the underpinnings which usually precede certification. </w:t>
      </w:r>
      <w:r w:rsidR="00514A37">
        <w:rPr>
          <w:sz w:val="24"/>
          <w:szCs w:val="24"/>
        </w:rPr>
        <w:t>In the US,</w:t>
      </w:r>
      <w:r w:rsidR="00E06ACE">
        <w:rPr>
          <w:sz w:val="24"/>
          <w:szCs w:val="24"/>
        </w:rPr>
        <w:t xml:space="preserve"> novice interpreters</w:t>
      </w:r>
      <w:r w:rsidR="00514A37">
        <w:rPr>
          <w:sz w:val="24"/>
          <w:szCs w:val="24"/>
        </w:rPr>
        <w:t xml:space="preserve"> </w:t>
      </w:r>
      <w:r w:rsidR="00E06ACE">
        <w:rPr>
          <w:sz w:val="24"/>
          <w:szCs w:val="24"/>
        </w:rPr>
        <w:t>h</w:t>
      </w:r>
      <w:r w:rsidRPr="005E6568">
        <w:rPr>
          <w:sz w:val="24"/>
          <w:szCs w:val="24"/>
        </w:rPr>
        <w:t xml:space="preserve">ave access to testing and accreditation but not to education with research-driven curricula. </w:t>
      </w:r>
    </w:p>
    <w:p w14:paraId="3A3D1605" w14:textId="77777777" w:rsidR="006353A6" w:rsidRDefault="006353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0130B9" w14:textId="77777777" w:rsidR="006353A6" w:rsidRDefault="006353A6" w:rsidP="009263D6">
      <w:pPr>
        <w:spacing w:line="240" w:lineRule="auto"/>
        <w:jc w:val="both"/>
        <w:rPr>
          <w:sz w:val="24"/>
          <w:szCs w:val="24"/>
        </w:rPr>
      </w:pPr>
    </w:p>
    <w:p w14:paraId="66B73630" w14:textId="77777777" w:rsidR="006353A6" w:rsidRDefault="006353A6" w:rsidP="009263D6">
      <w:pPr>
        <w:spacing w:line="240" w:lineRule="auto"/>
        <w:jc w:val="both"/>
        <w:rPr>
          <w:sz w:val="24"/>
          <w:szCs w:val="24"/>
        </w:rPr>
      </w:pPr>
    </w:p>
    <w:p w14:paraId="1D1D23F6" w14:textId="1720F72D" w:rsidR="00A01C07" w:rsidRPr="005E6568" w:rsidRDefault="00F13237" w:rsidP="009263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order to explore how research </w:t>
      </w:r>
      <w:r w:rsidR="007528D5">
        <w:rPr>
          <w:sz w:val="24"/>
          <w:szCs w:val="24"/>
        </w:rPr>
        <w:t xml:space="preserve">advances judiciary </w:t>
      </w:r>
      <w:r>
        <w:rPr>
          <w:sz w:val="24"/>
          <w:szCs w:val="24"/>
        </w:rPr>
        <w:t>interpreter</w:t>
      </w:r>
      <w:r w:rsidR="007528D5">
        <w:rPr>
          <w:sz w:val="24"/>
          <w:szCs w:val="24"/>
        </w:rPr>
        <w:t>s’</w:t>
      </w:r>
      <w:r>
        <w:rPr>
          <w:sz w:val="24"/>
          <w:szCs w:val="24"/>
        </w:rPr>
        <w:t xml:space="preserve"> education</w:t>
      </w:r>
      <w:r w:rsidR="007528D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, </w:t>
      </w:r>
      <w:r w:rsidR="007528D5">
        <w:rPr>
          <w:sz w:val="24"/>
          <w:szCs w:val="24"/>
        </w:rPr>
        <w:t xml:space="preserve">therefore, performance, </w:t>
      </w:r>
      <w:r w:rsidR="00A01C07" w:rsidRPr="005E6568">
        <w:rPr>
          <w:sz w:val="24"/>
          <w:szCs w:val="24"/>
        </w:rPr>
        <w:t>SSTI invites both c</w:t>
      </w:r>
      <w:r>
        <w:rPr>
          <w:sz w:val="24"/>
          <w:szCs w:val="24"/>
        </w:rPr>
        <w:t>onceptual and empirical contributions</w:t>
      </w:r>
      <w:r w:rsidR="00A01C07" w:rsidRPr="005E6568">
        <w:rPr>
          <w:sz w:val="24"/>
          <w:szCs w:val="24"/>
        </w:rPr>
        <w:t xml:space="preserve"> on issues including but not limited to: </w:t>
      </w:r>
    </w:p>
    <w:p w14:paraId="01F94BD1" w14:textId="0E1F80E2" w:rsidR="003D70AF" w:rsidRDefault="003D70AF" w:rsidP="005E6568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E6568">
        <w:rPr>
          <w:sz w:val="24"/>
          <w:szCs w:val="24"/>
        </w:rPr>
        <w:t xml:space="preserve">International models and standards for </w:t>
      </w:r>
      <w:r w:rsidR="007528D5" w:rsidRPr="005E6568">
        <w:rPr>
          <w:sz w:val="24"/>
          <w:szCs w:val="24"/>
        </w:rPr>
        <w:t>research-driven</w:t>
      </w:r>
      <w:r w:rsidR="007528D5" w:rsidRPr="005E6568" w:rsidDel="007528D5">
        <w:rPr>
          <w:sz w:val="24"/>
          <w:szCs w:val="24"/>
        </w:rPr>
        <w:t xml:space="preserve"> </w:t>
      </w:r>
      <w:r w:rsidR="007528D5">
        <w:rPr>
          <w:sz w:val="24"/>
          <w:szCs w:val="24"/>
        </w:rPr>
        <w:t>judiciary</w:t>
      </w:r>
      <w:r w:rsidR="007528D5" w:rsidRPr="005E6568">
        <w:rPr>
          <w:sz w:val="24"/>
          <w:szCs w:val="24"/>
        </w:rPr>
        <w:t xml:space="preserve"> </w:t>
      </w:r>
      <w:r w:rsidRPr="005E6568">
        <w:rPr>
          <w:sz w:val="24"/>
          <w:szCs w:val="24"/>
        </w:rPr>
        <w:t xml:space="preserve">interpreter education </w:t>
      </w:r>
    </w:p>
    <w:p w14:paraId="7BDC6048" w14:textId="5066AB2F" w:rsidR="002854C7" w:rsidRPr="005E6568" w:rsidRDefault="002854C7" w:rsidP="005E6568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Judiciary interpreter education in vocational, professional and university settings</w:t>
      </w:r>
    </w:p>
    <w:p w14:paraId="53DE5449" w14:textId="482D2F0C" w:rsidR="003D70AF" w:rsidRPr="005E6568" w:rsidRDefault="003D70AF" w:rsidP="005E6568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E6568">
        <w:rPr>
          <w:sz w:val="24"/>
          <w:szCs w:val="24"/>
        </w:rPr>
        <w:t>Relationships between standards of training and interpreter certification exams</w:t>
      </w:r>
    </w:p>
    <w:p w14:paraId="135459AE" w14:textId="0213A651" w:rsidR="003D70AF" w:rsidRPr="005E6568" w:rsidRDefault="00B138A5" w:rsidP="005E6568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D70AF" w:rsidRPr="005E6568">
        <w:rPr>
          <w:sz w:val="24"/>
          <w:szCs w:val="24"/>
        </w:rPr>
        <w:t xml:space="preserve">ethodologies </w:t>
      </w:r>
      <w:r w:rsidR="007528D5">
        <w:rPr>
          <w:sz w:val="24"/>
          <w:szCs w:val="24"/>
        </w:rPr>
        <w:t>to</w:t>
      </w:r>
      <w:r w:rsidR="003D70AF" w:rsidRPr="005E6568">
        <w:rPr>
          <w:sz w:val="24"/>
          <w:szCs w:val="24"/>
        </w:rPr>
        <w:t xml:space="preserve"> deriv</w:t>
      </w:r>
      <w:r w:rsidR="007528D5">
        <w:rPr>
          <w:sz w:val="24"/>
          <w:szCs w:val="24"/>
        </w:rPr>
        <w:t>e</w:t>
      </w:r>
      <w:r w:rsidR="003D70AF" w:rsidRPr="005E6568">
        <w:rPr>
          <w:sz w:val="24"/>
          <w:szCs w:val="24"/>
        </w:rPr>
        <w:t xml:space="preserve"> valid and reliable standards for training </w:t>
      </w:r>
      <w:r>
        <w:rPr>
          <w:sz w:val="24"/>
          <w:szCs w:val="24"/>
        </w:rPr>
        <w:t>and</w:t>
      </w:r>
      <w:r w:rsidR="003D70AF" w:rsidRPr="005E6568">
        <w:rPr>
          <w:sz w:val="24"/>
          <w:szCs w:val="24"/>
        </w:rPr>
        <w:t xml:space="preserve"> education</w:t>
      </w:r>
    </w:p>
    <w:p w14:paraId="607E03B8" w14:textId="45CE2B20" w:rsidR="00F13237" w:rsidRPr="002854C7" w:rsidRDefault="007528D5" w:rsidP="002854C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Professional entry-level m</w:t>
      </w:r>
      <w:r w:rsidR="00A01C07" w:rsidRPr="005E6568">
        <w:rPr>
          <w:sz w:val="24"/>
          <w:szCs w:val="24"/>
        </w:rPr>
        <w:t>inimal educational thres</w:t>
      </w:r>
      <w:r w:rsidR="003D70AF" w:rsidRPr="005E6568">
        <w:rPr>
          <w:sz w:val="24"/>
          <w:szCs w:val="24"/>
        </w:rPr>
        <w:t xml:space="preserve">holds </w:t>
      </w:r>
    </w:p>
    <w:p w14:paraId="2A52EE73" w14:textId="2EA7DC77" w:rsidR="003D70AF" w:rsidRPr="00B138A5" w:rsidRDefault="003D70AF" w:rsidP="005E6568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E6568">
        <w:rPr>
          <w:sz w:val="24"/>
          <w:szCs w:val="24"/>
        </w:rPr>
        <w:t xml:space="preserve">Current </w:t>
      </w:r>
      <w:r w:rsidR="007528D5">
        <w:rPr>
          <w:sz w:val="24"/>
          <w:szCs w:val="24"/>
        </w:rPr>
        <w:t>gaps betwee</w:t>
      </w:r>
      <w:r w:rsidR="00862667">
        <w:rPr>
          <w:sz w:val="24"/>
          <w:szCs w:val="24"/>
        </w:rPr>
        <w:t>n</w:t>
      </w:r>
      <w:r w:rsidR="007528D5">
        <w:rPr>
          <w:sz w:val="24"/>
          <w:szCs w:val="24"/>
        </w:rPr>
        <w:t xml:space="preserve"> </w:t>
      </w:r>
      <w:r w:rsidRPr="005E6568">
        <w:rPr>
          <w:sz w:val="24"/>
          <w:szCs w:val="24"/>
        </w:rPr>
        <w:t xml:space="preserve">readiness-to-work and readiness-to-credential after completion of </w:t>
      </w:r>
      <w:r w:rsidRPr="00B138A5">
        <w:rPr>
          <w:sz w:val="24"/>
          <w:szCs w:val="24"/>
        </w:rPr>
        <w:t xml:space="preserve">training </w:t>
      </w:r>
      <w:r w:rsidR="007528D5" w:rsidRPr="00B138A5">
        <w:rPr>
          <w:sz w:val="24"/>
          <w:szCs w:val="24"/>
        </w:rPr>
        <w:t>or</w:t>
      </w:r>
      <w:r w:rsidRPr="00B138A5">
        <w:rPr>
          <w:sz w:val="24"/>
          <w:szCs w:val="24"/>
        </w:rPr>
        <w:t xml:space="preserve"> education programs</w:t>
      </w:r>
    </w:p>
    <w:p w14:paraId="4A9282C6" w14:textId="690B6DAA" w:rsidR="003D70AF" w:rsidRPr="00B138A5" w:rsidRDefault="00B138A5" w:rsidP="005E6568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138A5">
        <w:rPr>
          <w:sz w:val="24"/>
          <w:szCs w:val="24"/>
        </w:rPr>
        <w:t>Buy-in from</w:t>
      </w:r>
      <w:r w:rsidR="00E16672">
        <w:rPr>
          <w:sz w:val="24"/>
          <w:szCs w:val="24"/>
        </w:rPr>
        <w:t xml:space="preserve"> end-users of</w:t>
      </w:r>
      <w:r w:rsidRPr="00B138A5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nterpreting services </w:t>
      </w:r>
      <w:r w:rsidR="007F682B" w:rsidRPr="00B138A5">
        <w:rPr>
          <w:sz w:val="24"/>
          <w:szCs w:val="24"/>
        </w:rPr>
        <w:t xml:space="preserve">and the </w:t>
      </w:r>
      <w:r>
        <w:rPr>
          <w:sz w:val="24"/>
          <w:szCs w:val="24"/>
        </w:rPr>
        <w:t>(perceived) market value of judiciary</w:t>
      </w:r>
      <w:r w:rsidR="007F682B" w:rsidRPr="00B138A5">
        <w:rPr>
          <w:sz w:val="24"/>
          <w:szCs w:val="24"/>
        </w:rPr>
        <w:t xml:space="preserve"> interpreter training </w:t>
      </w:r>
      <w:r w:rsidR="002854C7" w:rsidRPr="00B138A5">
        <w:rPr>
          <w:sz w:val="24"/>
          <w:szCs w:val="24"/>
        </w:rPr>
        <w:t>and</w:t>
      </w:r>
      <w:r w:rsidR="007F682B" w:rsidRPr="00B138A5">
        <w:rPr>
          <w:sz w:val="24"/>
          <w:szCs w:val="24"/>
        </w:rPr>
        <w:t xml:space="preserve"> education</w:t>
      </w:r>
    </w:p>
    <w:p w14:paraId="71AFCD54" w14:textId="5AA7513C" w:rsidR="00030B2E" w:rsidRDefault="00A01C07" w:rsidP="005E6568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E6568">
        <w:rPr>
          <w:sz w:val="24"/>
          <w:szCs w:val="24"/>
        </w:rPr>
        <w:t xml:space="preserve">Service learning and standards for training </w:t>
      </w:r>
      <w:r w:rsidR="002854C7">
        <w:rPr>
          <w:sz w:val="24"/>
          <w:szCs w:val="24"/>
        </w:rPr>
        <w:t>and</w:t>
      </w:r>
      <w:r w:rsidRPr="005E6568">
        <w:rPr>
          <w:sz w:val="24"/>
          <w:szCs w:val="24"/>
        </w:rPr>
        <w:t xml:space="preserve"> education</w:t>
      </w:r>
    </w:p>
    <w:p w14:paraId="47757D03" w14:textId="0149C9CA" w:rsidR="0026704B" w:rsidRDefault="0026704B" w:rsidP="005E6568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Training and education standards for continuing education </w:t>
      </w:r>
    </w:p>
    <w:p w14:paraId="006502D6" w14:textId="32CFEFD0" w:rsidR="00BA2565" w:rsidRPr="00B138A5" w:rsidRDefault="0026704B" w:rsidP="00B138A5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6704B">
        <w:rPr>
          <w:rFonts w:ascii="Calibri" w:hAnsi="Calibri" w:cs="Times New Roman"/>
          <w:color w:val="222222"/>
          <w:sz w:val="24"/>
          <w:szCs w:val="24"/>
        </w:rPr>
        <w:t>Self-instruction for judiciary interpreter certification purposes </w:t>
      </w:r>
    </w:p>
    <w:p w14:paraId="7E142EB6" w14:textId="461C9FB7" w:rsidR="0026704B" w:rsidRPr="005E6568" w:rsidRDefault="007528D5" w:rsidP="005E6568">
      <w:pPr>
        <w:spacing w:after="0" w:line="293" w:lineRule="atLeast"/>
        <w:jc w:val="both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The SSTI Board will consider </w:t>
      </w:r>
      <w:r w:rsidR="00924DCD">
        <w:rPr>
          <w:rFonts w:eastAsia="Times New Roman" w:cs="Helvetica"/>
          <w:color w:val="000000"/>
          <w:sz w:val="24"/>
          <w:szCs w:val="24"/>
        </w:rPr>
        <w:t xml:space="preserve">proposals from </w:t>
      </w:r>
      <w:r w:rsidR="00BA2565" w:rsidRPr="00B138A5">
        <w:rPr>
          <w:rFonts w:eastAsia="Times New Roman" w:cs="Helvetica"/>
          <w:color w:val="000000"/>
          <w:sz w:val="24"/>
          <w:szCs w:val="24"/>
        </w:rPr>
        <w:t xml:space="preserve">individual </w:t>
      </w:r>
      <w:r w:rsidR="006F05F4" w:rsidRPr="00B138A5">
        <w:rPr>
          <w:rFonts w:eastAsia="Times New Roman" w:cs="Helvetica"/>
          <w:color w:val="000000"/>
          <w:sz w:val="24"/>
          <w:szCs w:val="24"/>
        </w:rPr>
        <w:t>presenter</w:t>
      </w:r>
      <w:r w:rsidR="00B138A5" w:rsidRPr="00B138A5">
        <w:rPr>
          <w:rFonts w:eastAsia="Times New Roman" w:cs="Helvetica"/>
          <w:color w:val="000000"/>
          <w:sz w:val="24"/>
          <w:szCs w:val="24"/>
        </w:rPr>
        <w:t>s</w:t>
      </w:r>
      <w:r w:rsidR="00B138A5">
        <w:rPr>
          <w:rFonts w:eastAsia="Times New Roman" w:cs="Helvetica"/>
          <w:color w:val="000000"/>
          <w:sz w:val="24"/>
          <w:szCs w:val="24"/>
        </w:rPr>
        <w:t xml:space="preserve"> as well as</w:t>
      </w:r>
      <w:r w:rsidR="00BA2565" w:rsidRPr="005E6568">
        <w:rPr>
          <w:rFonts w:eastAsia="Times New Roman" w:cs="Helvetica"/>
          <w:color w:val="000000"/>
          <w:sz w:val="24"/>
          <w:szCs w:val="24"/>
        </w:rPr>
        <w:t xml:space="preserve"> panel proposals (3-4 papers)</w:t>
      </w:r>
      <w:r w:rsidR="0026704B">
        <w:rPr>
          <w:rFonts w:eastAsia="Times New Roman" w:cs="Helvetica"/>
          <w:color w:val="000000"/>
          <w:sz w:val="24"/>
          <w:szCs w:val="24"/>
        </w:rPr>
        <w:t>.</w:t>
      </w:r>
      <w:r w:rsidR="00BA2565" w:rsidRPr="005E6568">
        <w:rPr>
          <w:rFonts w:eastAsia="Times New Roman" w:cs="Helvetica"/>
          <w:color w:val="000000"/>
          <w:sz w:val="24"/>
          <w:szCs w:val="24"/>
        </w:rPr>
        <w:t xml:space="preserve"> Panel proposals should be submitted as a single document</w:t>
      </w:r>
      <w:r w:rsidR="00924DCD">
        <w:rPr>
          <w:rFonts w:eastAsia="Times New Roman" w:cs="Helvetica"/>
          <w:color w:val="000000"/>
          <w:sz w:val="24"/>
          <w:szCs w:val="24"/>
        </w:rPr>
        <w:t>,</w:t>
      </w:r>
      <w:r w:rsidR="00BA2565" w:rsidRPr="005E6568">
        <w:rPr>
          <w:rFonts w:eastAsia="Times New Roman" w:cs="Helvetica"/>
          <w:color w:val="000000"/>
          <w:sz w:val="24"/>
          <w:szCs w:val="24"/>
        </w:rPr>
        <w:t xml:space="preserve"> with the title of the panel and a brief rationale</w:t>
      </w:r>
      <w:r w:rsidR="006F05F4">
        <w:rPr>
          <w:rFonts w:eastAsia="Times New Roman" w:cs="Helvetica"/>
          <w:color w:val="000000"/>
          <w:sz w:val="24"/>
          <w:szCs w:val="24"/>
        </w:rPr>
        <w:t xml:space="preserve"> that ties all the papers under a single theme</w:t>
      </w:r>
      <w:r w:rsidR="00E06ACE">
        <w:rPr>
          <w:rFonts w:eastAsia="Times New Roman" w:cs="Helvetica"/>
          <w:color w:val="000000"/>
          <w:sz w:val="24"/>
          <w:szCs w:val="24"/>
        </w:rPr>
        <w:t>, followed by</w:t>
      </w:r>
      <w:r w:rsidR="00BA2565" w:rsidRPr="005E6568">
        <w:rPr>
          <w:rFonts w:eastAsia="Times New Roman" w:cs="Helvetica"/>
          <w:color w:val="000000"/>
          <w:sz w:val="24"/>
          <w:szCs w:val="24"/>
        </w:rPr>
        <w:t xml:space="preserve"> abstracts</w:t>
      </w:r>
      <w:r w:rsidR="00924DCD">
        <w:rPr>
          <w:rFonts w:eastAsia="Times New Roman" w:cs="Helvetica"/>
          <w:color w:val="000000"/>
          <w:sz w:val="24"/>
          <w:szCs w:val="24"/>
        </w:rPr>
        <w:t xml:space="preserve"> for the individual papers</w:t>
      </w:r>
      <w:r w:rsidR="006C03A9" w:rsidRPr="005E6568">
        <w:rPr>
          <w:rFonts w:eastAsia="Times New Roman" w:cs="Helvetica"/>
          <w:color w:val="000000"/>
          <w:sz w:val="24"/>
          <w:szCs w:val="24"/>
        </w:rPr>
        <w:t xml:space="preserve"> and a </w:t>
      </w:r>
      <w:r w:rsidR="00A22770">
        <w:rPr>
          <w:rFonts w:eastAsia="Times New Roman" w:cs="Helvetica"/>
          <w:color w:val="000000"/>
          <w:sz w:val="24"/>
          <w:szCs w:val="24"/>
        </w:rPr>
        <w:t xml:space="preserve">bio </w:t>
      </w:r>
      <w:r w:rsidR="00A22770" w:rsidRPr="0026704B">
        <w:rPr>
          <w:rFonts w:eastAsia="Times New Roman" w:cs="Helvetica"/>
          <w:color w:val="000000"/>
          <w:sz w:val="24"/>
          <w:szCs w:val="24"/>
        </w:rPr>
        <w:t>sketch</w:t>
      </w:r>
      <w:r w:rsidR="006C03A9" w:rsidRPr="0026704B">
        <w:rPr>
          <w:rFonts w:eastAsia="Times New Roman" w:cs="Helvetica"/>
          <w:color w:val="000000"/>
          <w:sz w:val="24"/>
          <w:szCs w:val="24"/>
        </w:rPr>
        <w:t xml:space="preserve"> for each presenter</w:t>
      </w:r>
      <w:r w:rsidR="00BA2565" w:rsidRPr="0026704B">
        <w:rPr>
          <w:rFonts w:eastAsia="Times New Roman" w:cs="Helvetica"/>
          <w:color w:val="000000"/>
          <w:sz w:val="24"/>
          <w:szCs w:val="24"/>
        </w:rPr>
        <w:t>.</w:t>
      </w:r>
      <w:r w:rsidR="003B52E3" w:rsidRPr="0026704B">
        <w:rPr>
          <w:rFonts w:eastAsia="Times New Roman" w:cs="Helvetica"/>
          <w:color w:val="000000"/>
          <w:sz w:val="24"/>
          <w:szCs w:val="24"/>
        </w:rPr>
        <w:t xml:space="preserve"> </w:t>
      </w:r>
      <w:r w:rsidR="0026704B" w:rsidRPr="0026704B">
        <w:rPr>
          <w:rFonts w:cs="Times New Roman"/>
          <w:color w:val="222222"/>
          <w:sz w:val="24"/>
          <w:szCs w:val="24"/>
        </w:rPr>
        <w:t>SSTI intends to publish selected papers in a peer-reviewed edited volume. Presenters will be contacted after the conference with specific instructions regarding submission of their papers and detailed information about the peer-review and publication process</w:t>
      </w:r>
    </w:p>
    <w:p w14:paraId="7CC47704" w14:textId="77777777" w:rsidR="006C03A9" w:rsidRPr="005E6568" w:rsidRDefault="006C03A9" w:rsidP="005E6568">
      <w:pPr>
        <w:spacing w:after="0" w:line="293" w:lineRule="atLeast"/>
        <w:jc w:val="both"/>
        <w:rPr>
          <w:rFonts w:eastAsia="Times New Roman" w:cs="Helvetica"/>
          <w:color w:val="000000"/>
          <w:sz w:val="24"/>
          <w:szCs w:val="24"/>
          <w:highlight w:val="yellow"/>
        </w:rPr>
      </w:pPr>
    </w:p>
    <w:p w14:paraId="1816DF99" w14:textId="43822EEA" w:rsidR="006C03A9" w:rsidRPr="005E6568" w:rsidRDefault="006C03A9" w:rsidP="005E6568">
      <w:pPr>
        <w:spacing w:after="0" w:line="293" w:lineRule="atLeast"/>
        <w:jc w:val="both"/>
        <w:rPr>
          <w:rFonts w:eastAsia="Times New Roman" w:cs="Helvetica"/>
          <w:color w:val="000000"/>
          <w:sz w:val="24"/>
          <w:szCs w:val="24"/>
        </w:rPr>
      </w:pPr>
      <w:r w:rsidRPr="005E6568">
        <w:rPr>
          <w:rFonts w:eastAsia="Times New Roman" w:cs="Helvetica"/>
          <w:color w:val="000000"/>
          <w:sz w:val="24"/>
          <w:szCs w:val="24"/>
        </w:rPr>
        <w:t xml:space="preserve">Please send proposals to </w:t>
      </w:r>
      <w:r w:rsidR="00866111">
        <w:rPr>
          <w:rFonts w:eastAsia="Times New Roman" w:cs="Helvetica"/>
          <w:color w:val="000000"/>
          <w:sz w:val="24"/>
          <w:szCs w:val="24"/>
        </w:rPr>
        <w:t>ssti.projects@gmail.com</w:t>
      </w:r>
      <w:r w:rsidRPr="005E6568">
        <w:rPr>
          <w:rFonts w:eastAsia="Times New Roman" w:cs="Helvetica"/>
          <w:color w:val="000000"/>
          <w:sz w:val="24"/>
          <w:szCs w:val="24"/>
        </w:rPr>
        <w:t>.</w:t>
      </w:r>
    </w:p>
    <w:p w14:paraId="408CAFE6" w14:textId="77777777" w:rsidR="00BA2565" w:rsidRPr="005E6568" w:rsidRDefault="00BA2565" w:rsidP="005E6568">
      <w:pPr>
        <w:spacing w:after="0" w:line="293" w:lineRule="atLeast"/>
        <w:jc w:val="both"/>
        <w:rPr>
          <w:rFonts w:eastAsia="Times New Roman" w:cs="Helvetica"/>
          <w:color w:val="000000"/>
          <w:sz w:val="24"/>
          <w:szCs w:val="24"/>
          <w:highlight w:val="yellow"/>
        </w:rPr>
      </w:pPr>
    </w:p>
    <w:p w14:paraId="7044D0AF" w14:textId="1A2D5C21" w:rsidR="00BA2565" w:rsidRPr="005E6568" w:rsidRDefault="00BA2565" w:rsidP="005E6568">
      <w:pPr>
        <w:spacing w:after="0" w:line="293" w:lineRule="atLeast"/>
        <w:jc w:val="both"/>
        <w:rPr>
          <w:rFonts w:eastAsia="Times New Roman" w:cs="Helvetica"/>
          <w:color w:val="000000"/>
          <w:sz w:val="24"/>
          <w:szCs w:val="24"/>
        </w:rPr>
      </w:pPr>
      <w:r w:rsidRPr="005E6568">
        <w:rPr>
          <w:rFonts w:eastAsia="Times New Roman" w:cs="Helvetica"/>
          <w:b/>
          <w:bCs/>
          <w:color w:val="000000"/>
          <w:sz w:val="24"/>
          <w:szCs w:val="24"/>
        </w:rPr>
        <w:t>Deadline for submiss</w:t>
      </w:r>
      <w:r w:rsidR="003B52E3" w:rsidRPr="005E6568">
        <w:rPr>
          <w:rFonts w:eastAsia="Times New Roman" w:cs="Helvetica"/>
          <w:b/>
          <w:bCs/>
          <w:color w:val="000000"/>
          <w:sz w:val="24"/>
          <w:szCs w:val="24"/>
        </w:rPr>
        <w:t>ion of proposals: </w:t>
      </w:r>
      <w:r w:rsidR="00FD2EDF">
        <w:rPr>
          <w:rFonts w:eastAsia="Times New Roman" w:cs="Helvetica"/>
          <w:bCs/>
          <w:color w:val="000000"/>
          <w:sz w:val="24"/>
          <w:szCs w:val="24"/>
        </w:rPr>
        <w:t>December 31</w:t>
      </w:r>
      <w:r w:rsidR="006C03A9" w:rsidRPr="005E6568">
        <w:rPr>
          <w:rFonts w:eastAsia="Times New Roman" w:cs="Helvetica"/>
          <w:bCs/>
          <w:color w:val="000000"/>
          <w:sz w:val="24"/>
          <w:szCs w:val="24"/>
        </w:rPr>
        <w:t>, 2017</w:t>
      </w:r>
    </w:p>
    <w:p w14:paraId="1B06CA61" w14:textId="6837CB2E" w:rsidR="00BA2565" w:rsidRPr="005E6568" w:rsidRDefault="00BA2565" w:rsidP="005E6568">
      <w:pPr>
        <w:spacing w:after="0" w:line="293" w:lineRule="atLeast"/>
        <w:jc w:val="both"/>
        <w:rPr>
          <w:rFonts w:eastAsia="Times New Roman" w:cs="Helvetica"/>
          <w:color w:val="000000"/>
          <w:sz w:val="24"/>
          <w:szCs w:val="24"/>
        </w:rPr>
      </w:pPr>
      <w:r w:rsidRPr="005E6568">
        <w:rPr>
          <w:rFonts w:eastAsia="Times New Roman" w:cs="Helvetica"/>
          <w:b/>
          <w:bCs/>
          <w:color w:val="000000"/>
          <w:sz w:val="24"/>
          <w:szCs w:val="24"/>
        </w:rPr>
        <w:t>Notifica</w:t>
      </w:r>
      <w:r w:rsidR="003B52E3" w:rsidRPr="005E6568">
        <w:rPr>
          <w:rFonts w:eastAsia="Times New Roman" w:cs="Helvetica"/>
          <w:b/>
          <w:bCs/>
          <w:color w:val="000000"/>
          <w:sz w:val="24"/>
          <w:szCs w:val="24"/>
        </w:rPr>
        <w:t xml:space="preserve">tion of acceptance: </w:t>
      </w:r>
      <w:r w:rsidR="00FD2EDF">
        <w:rPr>
          <w:rFonts w:eastAsia="Times New Roman" w:cs="Helvetica"/>
          <w:bCs/>
          <w:color w:val="000000"/>
          <w:sz w:val="24"/>
          <w:szCs w:val="24"/>
        </w:rPr>
        <w:t>January 30, 2018</w:t>
      </w:r>
      <w:bookmarkStart w:id="0" w:name="_GoBack"/>
      <w:bookmarkEnd w:id="0"/>
    </w:p>
    <w:p w14:paraId="6E8EA801" w14:textId="77777777" w:rsidR="00BA2565" w:rsidRPr="005E6568" w:rsidRDefault="00BA2565" w:rsidP="005E6568">
      <w:pPr>
        <w:spacing w:after="0" w:line="293" w:lineRule="atLeast"/>
        <w:jc w:val="both"/>
        <w:rPr>
          <w:rFonts w:eastAsia="Times New Roman" w:cs="Helvetica"/>
          <w:color w:val="000000"/>
          <w:sz w:val="24"/>
          <w:szCs w:val="24"/>
          <w:highlight w:val="yellow"/>
        </w:rPr>
      </w:pPr>
    </w:p>
    <w:p w14:paraId="71D0141D" w14:textId="20A9C776" w:rsidR="00224806" w:rsidRPr="00E06ACE" w:rsidRDefault="00BA2565" w:rsidP="005E6568">
      <w:pPr>
        <w:spacing w:after="0" w:line="293" w:lineRule="atLeast"/>
        <w:jc w:val="both"/>
        <w:rPr>
          <w:rFonts w:eastAsia="Times New Roman" w:cs="Helvetica"/>
          <w:color w:val="000000"/>
          <w:sz w:val="24"/>
          <w:szCs w:val="24"/>
        </w:rPr>
      </w:pPr>
      <w:r w:rsidRPr="005E6568">
        <w:rPr>
          <w:rFonts w:eastAsia="Times New Roman" w:cs="Helvetica"/>
          <w:b/>
          <w:bCs/>
          <w:color w:val="000000"/>
          <w:sz w:val="24"/>
          <w:szCs w:val="24"/>
        </w:rPr>
        <w:t>Scientific Committee</w:t>
      </w:r>
      <w:r w:rsidR="00EC6C5B">
        <w:rPr>
          <w:rFonts w:eastAsia="Times New Roman" w:cs="Helvetica"/>
          <w:b/>
          <w:bCs/>
          <w:color w:val="000000"/>
          <w:sz w:val="24"/>
          <w:szCs w:val="24"/>
        </w:rPr>
        <w:t xml:space="preserve"> (the SSTI Board)</w:t>
      </w:r>
      <w:r w:rsidRPr="005E6568">
        <w:rPr>
          <w:rFonts w:eastAsia="Times New Roman" w:cs="Helvetica"/>
          <w:b/>
          <w:bCs/>
          <w:color w:val="000000"/>
          <w:sz w:val="24"/>
          <w:szCs w:val="24"/>
        </w:rPr>
        <w:t>:</w:t>
      </w:r>
      <w:r w:rsidRPr="005E6568">
        <w:rPr>
          <w:rFonts w:eastAsia="Times New Roman" w:cs="Helvetica"/>
          <w:color w:val="000000"/>
          <w:sz w:val="24"/>
          <w:szCs w:val="24"/>
        </w:rPr>
        <w:t> </w:t>
      </w:r>
      <w:r w:rsidR="00E06ACE" w:rsidRPr="005E6568">
        <w:rPr>
          <w:rFonts w:eastAsia="Times New Roman" w:cs="Helvetica"/>
          <w:color w:val="000000"/>
          <w:sz w:val="24"/>
          <w:szCs w:val="24"/>
        </w:rPr>
        <w:t>Susan Berk-Seligson</w:t>
      </w:r>
      <w:r w:rsidR="00E06ACE">
        <w:rPr>
          <w:rFonts w:eastAsia="Times New Roman" w:cs="Helvetica"/>
          <w:color w:val="000000"/>
          <w:sz w:val="24"/>
          <w:szCs w:val="24"/>
        </w:rPr>
        <w:t xml:space="preserve"> (</w:t>
      </w:r>
      <w:r w:rsidR="00E06ACE" w:rsidRPr="005E6568">
        <w:rPr>
          <w:rFonts w:eastAsia="Times New Roman" w:cs="Helvetica"/>
          <w:color w:val="000000"/>
          <w:sz w:val="24"/>
          <w:szCs w:val="24"/>
        </w:rPr>
        <w:t>Ph</w:t>
      </w:r>
      <w:r w:rsidR="00E06ACE">
        <w:rPr>
          <w:rFonts w:eastAsia="Times New Roman" w:cs="Helvetica"/>
          <w:color w:val="000000"/>
          <w:sz w:val="24"/>
          <w:szCs w:val="24"/>
        </w:rPr>
        <w:t xml:space="preserve">D); </w:t>
      </w:r>
      <w:r w:rsidR="00E06ACE" w:rsidRPr="005E6568">
        <w:rPr>
          <w:rFonts w:eastAsia="Times New Roman" w:cs="Helvetica"/>
          <w:color w:val="000000"/>
          <w:sz w:val="24"/>
          <w:szCs w:val="24"/>
        </w:rPr>
        <w:t>Aíd</w:t>
      </w:r>
      <w:r w:rsidR="00E06ACE">
        <w:rPr>
          <w:rFonts w:eastAsia="Times New Roman" w:cs="Helvetica"/>
          <w:color w:val="000000"/>
          <w:sz w:val="24"/>
          <w:szCs w:val="24"/>
        </w:rPr>
        <w:t>a Martínez-Gómez (</w:t>
      </w:r>
      <w:r w:rsidR="00E06ACE" w:rsidRPr="005E6568">
        <w:rPr>
          <w:rFonts w:eastAsia="Times New Roman" w:cs="Helvetica"/>
          <w:color w:val="000000"/>
          <w:sz w:val="24"/>
          <w:szCs w:val="24"/>
        </w:rPr>
        <w:t>PhD);</w:t>
      </w:r>
      <w:r w:rsidR="00E06ACE">
        <w:rPr>
          <w:rFonts w:eastAsia="Times New Roman" w:cs="Helvetica"/>
          <w:color w:val="000000"/>
          <w:sz w:val="24"/>
          <w:szCs w:val="24"/>
        </w:rPr>
        <w:t xml:space="preserve"> </w:t>
      </w:r>
      <w:r w:rsidR="003B52E3" w:rsidRPr="005E6568">
        <w:rPr>
          <w:rFonts w:eastAsia="Times New Roman" w:cs="Helvetica"/>
          <w:color w:val="000000"/>
          <w:sz w:val="24"/>
          <w:szCs w:val="24"/>
        </w:rPr>
        <w:t>Janis Palma</w:t>
      </w:r>
      <w:r w:rsidR="009A4162">
        <w:rPr>
          <w:rFonts w:eastAsia="Times New Roman" w:cs="Helvetica"/>
          <w:color w:val="000000"/>
          <w:sz w:val="24"/>
          <w:szCs w:val="24"/>
        </w:rPr>
        <w:t xml:space="preserve"> (</w:t>
      </w:r>
      <w:r w:rsidR="006C03A9" w:rsidRPr="00885959">
        <w:rPr>
          <w:rFonts w:eastAsia="Times New Roman" w:cs="Helvetica"/>
          <w:color w:val="000000"/>
          <w:sz w:val="24"/>
          <w:szCs w:val="24"/>
        </w:rPr>
        <w:t>Fed Cert</w:t>
      </w:r>
      <w:r w:rsidR="006F05F4" w:rsidRPr="00885959">
        <w:rPr>
          <w:rFonts w:eastAsia="Times New Roman" w:cs="Helvetica"/>
          <w:color w:val="000000"/>
          <w:sz w:val="24"/>
          <w:szCs w:val="24"/>
        </w:rPr>
        <w:t>, NAJIT Cert</w:t>
      </w:r>
      <w:r w:rsidR="006C03A9" w:rsidRPr="005E6568">
        <w:rPr>
          <w:rFonts w:eastAsia="Times New Roman" w:cs="Helvetica"/>
          <w:color w:val="000000"/>
          <w:sz w:val="24"/>
          <w:szCs w:val="24"/>
        </w:rPr>
        <w:t>)</w:t>
      </w:r>
      <w:r w:rsidR="00224806" w:rsidRPr="005E6568">
        <w:rPr>
          <w:rFonts w:eastAsia="Times New Roman" w:cs="Helvetica"/>
          <w:color w:val="000000"/>
          <w:sz w:val="24"/>
          <w:szCs w:val="24"/>
        </w:rPr>
        <w:t xml:space="preserve">; </w:t>
      </w:r>
      <w:r w:rsidR="0026704B">
        <w:rPr>
          <w:rFonts w:eastAsia="Times New Roman" w:cs="Helvetica"/>
          <w:color w:val="000000"/>
          <w:sz w:val="24"/>
          <w:szCs w:val="24"/>
        </w:rPr>
        <w:t>Melissa Wallace</w:t>
      </w:r>
      <w:r w:rsidR="00885959">
        <w:rPr>
          <w:rFonts w:eastAsia="Times New Roman" w:cs="Helvetica"/>
          <w:color w:val="000000"/>
          <w:sz w:val="24"/>
          <w:szCs w:val="24"/>
        </w:rPr>
        <w:t xml:space="preserve"> (</w:t>
      </w:r>
      <w:r w:rsidR="00224806" w:rsidRPr="005E6568">
        <w:rPr>
          <w:rFonts w:eastAsia="Times New Roman" w:cs="Helvetica"/>
          <w:color w:val="000000"/>
          <w:sz w:val="24"/>
          <w:szCs w:val="24"/>
        </w:rPr>
        <w:t>PhD</w:t>
      </w:r>
      <w:r w:rsidR="00F56857">
        <w:rPr>
          <w:rFonts w:eastAsia="Times New Roman" w:cs="Helvetica"/>
          <w:color w:val="000000"/>
          <w:sz w:val="24"/>
          <w:szCs w:val="24"/>
        </w:rPr>
        <w:t>)</w:t>
      </w:r>
      <w:r w:rsidR="00224806" w:rsidRPr="005E6568">
        <w:rPr>
          <w:rFonts w:eastAsia="Times New Roman" w:cs="Helvetica"/>
          <w:color w:val="000000"/>
          <w:sz w:val="24"/>
          <w:szCs w:val="24"/>
        </w:rPr>
        <w:t xml:space="preserve">. </w:t>
      </w:r>
    </w:p>
    <w:p w14:paraId="56A09026" w14:textId="77777777" w:rsidR="006C03A9" w:rsidRPr="005E6568" w:rsidRDefault="006C03A9" w:rsidP="005E6568">
      <w:pPr>
        <w:shd w:val="clear" w:color="auto" w:fill="FFFFFF"/>
        <w:spacing w:after="240" w:line="293" w:lineRule="atLeast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68C6E622" w14:textId="1B0004BC" w:rsidR="00FD665E" w:rsidRPr="00FD665E" w:rsidRDefault="00885959" w:rsidP="00885959">
      <w:pPr>
        <w:shd w:val="clear" w:color="auto" w:fill="FFFFFF"/>
        <w:spacing w:after="240" w:line="293" w:lineRule="atLeast"/>
        <w:rPr>
          <w:rFonts w:cs="Times New Roman"/>
          <w:color w:val="222222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Contact </w:t>
      </w:r>
      <w:r w:rsidR="00FD665E" w:rsidRPr="00FD665E">
        <w:rPr>
          <w:rFonts w:cs="Times New Roman"/>
          <w:b/>
          <w:bCs/>
          <w:color w:val="000000"/>
          <w:sz w:val="24"/>
          <w:szCs w:val="24"/>
        </w:rPr>
        <w:t>information</w:t>
      </w:r>
      <w:r w:rsidR="00FD665E" w:rsidRPr="00FD665E">
        <w:rPr>
          <w:rFonts w:cs="Times New Roman"/>
          <w:color w:val="000000"/>
          <w:sz w:val="24"/>
          <w:szCs w:val="24"/>
        </w:rPr>
        <w:br/>
      </w:r>
      <w:r w:rsidR="006C03A9" w:rsidRPr="005E6568">
        <w:rPr>
          <w:rFonts w:cs="Times New Roman"/>
          <w:color w:val="000000"/>
          <w:sz w:val="24"/>
          <w:szCs w:val="24"/>
        </w:rPr>
        <w:t>Informal i</w:t>
      </w:r>
      <w:r w:rsidR="00FD665E" w:rsidRPr="00FD665E">
        <w:rPr>
          <w:rFonts w:cs="Times New Roman"/>
          <w:color w:val="000000"/>
          <w:sz w:val="24"/>
          <w:szCs w:val="24"/>
        </w:rPr>
        <w:t>nquiries</w:t>
      </w:r>
      <w:r w:rsidR="006C03A9" w:rsidRPr="005E6568">
        <w:rPr>
          <w:rFonts w:cs="Times New Roman"/>
          <w:color w:val="000000"/>
          <w:sz w:val="24"/>
          <w:szCs w:val="24"/>
        </w:rPr>
        <w:t xml:space="preserve"> regarding the SSTI conference can be addressed to</w:t>
      </w:r>
      <w:r>
        <w:rPr>
          <w:rFonts w:cs="Times New Roman"/>
          <w:color w:val="000000"/>
          <w:sz w:val="24"/>
          <w:szCs w:val="24"/>
        </w:rPr>
        <w:t xml:space="preserve"> ssti.projects@gmail.com.</w:t>
      </w:r>
      <w:r w:rsidR="006C03A9" w:rsidRPr="005E6568">
        <w:rPr>
          <w:rFonts w:cs="Times New Roman"/>
          <w:color w:val="000000"/>
          <w:sz w:val="24"/>
          <w:szCs w:val="24"/>
        </w:rPr>
        <w:t xml:space="preserve"> </w:t>
      </w:r>
    </w:p>
    <w:p w14:paraId="31778882" w14:textId="77777777" w:rsidR="00FD665E" w:rsidRPr="005E6568" w:rsidRDefault="00FD665E">
      <w:pPr>
        <w:rPr>
          <w:sz w:val="24"/>
          <w:szCs w:val="24"/>
        </w:rPr>
      </w:pPr>
    </w:p>
    <w:sectPr w:rsidR="00FD665E" w:rsidRPr="005E65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EF86" w14:textId="77777777" w:rsidR="009A105A" w:rsidRDefault="009A105A" w:rsidP="00F113C6">
      <w:pPr>
        <w:spacing w:after="0" w:line="240" w:lineRule="auto"/>
      </w:pPr>
      <w:r>
        <w:separator/>
      </w:r>
    </w:p>
  </w:endnote>
  <w:endnote w:type="continuationSeparator" w:id="0">
    <w:p w14:paraId="3A4528A1" w14:textId="77777777" w:rsidR="009A105A" w:rsidRDefault="009A105A" w:rsidP="00F1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4274A" w14:textId="77777777" w:rsidR="009A105A" w:rsidRDefault="009A105A" w:rsidP="00F113C6">
      <w:pPr>
        <w:spacing w:after="0" w:line="240" w:lineRule="auto"/>
      </w:pPr>
      <w:r>
        <w:separator/>
      </w:r>
    </w:p>
  </w:footnote>
  <w:footnote w:type="continuationSeparator" w:id="0">
    <w:p w14:paraId="5FF90604" w14:textId="77777777" w:rsidR="009A105A" w:rsidRDefault="009A105A" w:rsidP="00F113C6">
      <w:pPr>
        <w:spacing w:after="0" w:line="240" w:lineRule="auto"/>
      </w:pPr>
      <w:r>
        <w:continuationSeparator/>
      </w:r>
    </w:p>
  </w:footnote>
  <w:footnote w:id="1">
    <w:p w14:paraId="4A8430BC" w14:textId="77777777" w:rsidR="009263D6" w:rsidRPr="00022EE7" w:rsidRDefault="009263D6" w:rsidP="009263D6">
      <w:pPr>
        <w:ind w:left="90" w:hanging="90"/>
        <w:jc w:val="both"/>
        <w:rPr>
          <w:sz w:val="20"/>
          <w:szCs w:val="20"/>
        </w:rPr>
      </w:pPr>
      <w:r w:rsidRPr="00022EE7">
        <w:rPr>
          <w:rStyle w:val="FootnoteReference"/>
          <w:sz w:val="20"/>
          <w:szCs w:val="20"/>
        </w:rPr>
        <w:footnoteRef/>
      </w:r>
      <w:r w:rsidRPr="00022EE7">
        <w:rPr>
          <w:sz w:val="20"/>
          <w:szCs w:val="20"/>
        </w:rPr>
        <w:t xml:space="preserve"> </w:t>
      </w:r>
      <w:proofErr w:type="spellStart"/>
      <w:r w:rsidRPr="00022EE7">
        <w:rPr>
          <w:sz w:val="20"/>
          <w:szCs w:val="20"/>
        </w:rPr>
        <w:t>Angelelli</w:t>
      </w:r>
      <w:proofErr w:type="spellEnd"/>
      <w:r w:rsidRPr="00022EE7">
        <w:rPr>
          <w:sz w:val="20"/>
          <w:szCs w:val="20"/>
        </w:rPr>
        <w:t>, Claudia V. (2005): “Healthcare Interpreting Education: Are We Putting the Cart Before the Horse</w:t>
      </w:r>
      <w:r w:rsidRPr="00022EE7">
        <w:rPr>
          <w:sz w:val="20"/>
          <w:szCs w:val="20"/>
          <w:vertAlign w:val="superscript"/>
        </w:rPr>
        <w:footnoteRef/>
      </w:r>
      <w:r w:rsidRPr="00022EE7">
        <w:rPr>
          <w:sz w:val="20"/>
          <w:szCs w:val="20"/>
        </w:rPr>
        <w:t xml:space="preserve">?” In: </w:t>
      </w:r>
      <w:r w:rsidRPr="00022EE7">
        <w:rPr>
          <w:i/>
          <w:sz w:val="20"/>
          <w:szCs w:val="20"/>
        </w:rPr>
        <w:t>The ATA Chronicle,</w:t>
      </w:r>
      <w:r w:rsidRPr="00022EE7">
        <w:rPr>
          <w:sz w:val="20"/>
          <w:szCs w:val="20"/>
        </w:rPr>
        <w:t xml:space="preserve"> 33-38. </w:t>
      </w:r>
      <w:hyperlink r:id="rId1" w:history="1">
        <w:r w:rsidRPr="00022EE7">
          <w:rPr>
            <w:sz w:val="20"/>
            <w:szCs w:val="20"/>
          </w:rPr>
          <w:t>http://www.apuntesonline.org/Angelelli.PDF</w:t>
        </w:r>
      </w:hyperlink>
      <w:r w:rsidRPr="00022EE7">
        <w:rPr>
          <w:sz w:val="20"/>
          <w:szCs w:val="20"/>
        </w:rPr>
        <w:t xml:space="preserve"> [4.30.2016]</w:t>
      </w:r>
    </w:p>
    <w:p w14:paraId="4C4E7E74" w14:textId="77777777" w:rsidR="009263D6" w:rsidRPr="00022EE7" w:rsidRDefault="009263D6" w:rsidP="009263D6">
      <w:pPr>
        <w:pStyle w:val="FootnoteText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469E2" w14:textId="7289ECC6" w:rsidR="00921208" w:rsidRDefault="00921208">
    <w:pPr>
      <w:pStyle w:val="Header"/>
    </w:pPr>
    <w:r w:rsidRPr="009378B7">
      <w:rPr>
        <w:rFonts w:cs="Times New Roman"/>
        <w:noProof/>
        <w:sz w:val="32"/>
        <w:szCs w:val="24"/>
      </w:rPr>
      <w:drawing>
        <wp:anchor distT="0" distB="0" distL="114300" distR="114300" simplePos="0" relativeHeight="251659264" behindDoc="1" locked="0" layoutInCell="1" allowOverlap="1" wp14:anchorId="2B02BC61" wp14:editId="490C5F74">
          <wp:simplePos x="0" y="0"/>
          <wp:positionH relativeFrom="margin">
            <wp:posOffset>3987800</wp:posOffset>
          </wp:positionH>
          <wp:positionV relativeFrom="margin">
            <wp:posOffset>-1231900</wp:posOffset>
          </wp:positionV>
          <wp:extent cx="1728216" cy="1170432"/>
          <wp:effectExtent l="0" t="0" r="5715" b="0"/>
          <wp:wrapSquare wrapText="bothSides"/>
          <wp:docPr id="6" name="Picture 6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38F36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1170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Helvetica"/>
        <w:b/>
        <w:bCs/>
        <w:noProof/>
        <w:color w:val="000000"/>
        <w:sz w:val="24"/>
        <w:szCs w:val="24"/>
      </w:rPr>
      <w:drawing>
        <wp:inline distT="0" distB="0" distL="0" distR="0" wp14:anchorId="0B68074C" wp14:editId="338D1936">
          <wp:extent cx="3657600" cy="987552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with tag line and full name on bottom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98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FE2"/>
    <w:multiLevelType w:val="hybridMultilevel"/>
    <w:tmpl w:val="FDC2AE66"/>
    <w:lvl w:ilvl="0" w:tplc="452AF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85DF4"/>
    <w:multiLevelType w:val="hybridMultilevel"/>
    <w:tmpl w:val="58C0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E6A5B"/>
    <w:multiLevelType w:val="hybridMultilevel"/>
    <w:tmpl w:val="C43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F72C9"/>
    <w:multiLevelType w:val="hybridMultilevel"/>
    <w:tmpl w:val="573A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E2570C3-61FF-4540-8AA5-F76FC08DAD81}"/>
    <w:docVar w:name="dgnword-eventsink" w:val="68369048"/>
  </w:docVars>
  <w:rsids>
    <w:rsidRoot w:val="00BA2565"/>
    <w:rsid w:val="00030B2E"/>
    <w:rsid w:val="000A1563"/>
    <w:rsid w:val="00144105"/>
    <w:rsid w:val="001A79EA"/>
    <w:rsid w:val="001B2026"/>
    <w:rsid w:val="00223F70"/>
    <w:rsid w:val="00224806"/>
    <w:rsid w:val="0026704B"/>
    <w:rsid w:val="002756E8"/>
    <w:rsid w:val="002854C7"/>
    <w:rsid w:val="002A087C"/>
    <w:rsid w:val="002C49DE"/>
    <w:rsid w:val="00330EE2"/>
    <w:rsid w:val="003873FB"/>
    <w:rsid w:val="003B52E3"/>
    <w:rsid w:val="003C1ED2"/>
    <w:rsid w:val="003D70AF"/>
    <w:rsid w:val="004E70CF"/>
    <w:rsid w:val="00514A37"/>
    <w:rsid w:val="0052038D"/>
    <w:rsid w:val="005C786E"/>
    <w:rsid w:val="005E6568"/>
    <w:rsid w:val="006353A6"/>
    <w:rsid w:val="00641503"/>
    <w:rsid w:val="006C03A9"/>
    <w:rsid w:val="006F05F4"/>
    <w:rsid w:val="007528D5"/>
    <w:rsid w:val="00795F81"/>
    <w:rsid w:val="007D6B0A"/>
    <w:rsid w:val="007F682B"/>
    <w:rsid w:val="00862667"/>
    <w:rsid w:val="00862EDB"/>
    <w:rsid w:val="00866111"/>
    <w:rsid w:val="00885959"/>
    <w:rsid w:val="0089429C"/>
    <w:rsid w:val="008F7DCC"/>
    <w:rsid w:val="00921208"/>
    <w:rsid w:val="00924DCD"/>
    <w:rsid w:val="009263D6"/>
    <w:rsid w:val="009378B7"/>
    <w:rsid w:val="0098583C"/>
    <w:rsid w:val="00995C2F"/>
    <w:rsid w:val="009A105A"/>
    <w:rsid w:val="009A4162"/>
    <w:rsid w:val="009D56CC"/>
    <w:rsid w:val="00A01C07"/>
    <w:rsid w:val="00A22770"/>
    <w:rsid w:val="00A846BC"/>
    <w:rsid w:val="00AB29F2"/>
    <w:rsid w:val="00B138A5"/>
    <w:rsid w:val="00BA2565"/>
    <w:rsid w:val="00C871BA"/>
    <w:rsid w:val="00CD2FAD"/>
    <w:rsid w:val="00D66FD0"/>
    <w:rsid w:val="00D970B6"/>
    <w:rsid w:val="00E06ACE"/>
    <w:rsid w:val="00E16672"/>
    <w:rsid w:val="00EB620D"/>
    <w:rsid w:val="00EC6C5B"/>
    <w:rsid w:val="00F113C6"/>
    <w:rsid w:val="00F13237"/>
    <w:rsid w:val="00F44AFB"/>
    <w:rsid w:val="00F56857"/>
    <w:rsid w:val="00FA0555"/>
    <w:rsid w:val="00FD2EDF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DD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65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3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3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3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3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3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A9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113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13C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113C6"/>
    <w:rPr>
      <w:vertAlign w:val="superscript"/>
    </w:rPr>
  </w:style>
  <w:style w:type="character" w:customStyle="1" w:styleId="apple-converted-space">
    <w:name w:val="apple-converted-space"/>
    <w:basedOn w:val="DefaultParagraphFont"/>
    <w:rsid w:val="00F113C6"/>
  </w:style>
  <w:style w:type="paragraph" w:styleId="Revision">
    <w:name w:val="Revision"/>
    <w:hidden/>
    <w:uiPriority w:val="99"/>
    <w:semiHidden/>
    <w:rsid w:val="001B2026"/>
    <w:pPr>
      <w:spacing w:after="0" w:line="240" w:lineRule="auto"/>
    </w:pPr>
  </w:style>
  <w:style w:type="paragraph" w:customStyle="1" w:styleId="gmail-msocommenttext">
    <w:name w:val="gmail-msocommenttext"/>
    <w:basedOn w:val="Normal"/>
    <w:rsid w:val="002670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08"/>
  </w:style>
  <w:style w:type="paragraph" w:styleId="Footer">
    <w:name w:val="footer"/>
    <w:basedOn w:val="Normal"/>
    <w:link w:val="FooterChar"/>
    <w:uiPriority w:val="99"/>
    <w:unhideWhenUsed/>
    <w:rsid w:val="0092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428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71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339">
          <w:marLeft w:val="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untesonline.org/Angelell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034087-F7E3-854F-8261-423E5F0C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Wallace</dc:creator>
  <cp:keywords/>
  <dc:description/>
  <cp:lastModifiedBy>Melissa Wallace</cp:lastModifiedBy>
  <cp:revision>2</cp:revision>
  <dcterms:created xsi:type="dcterms:W3CDTF">2017-10-26T17:27:00Z</dcterms:created>
  <dcterms:modified xsi:type="dcterms:W3CDTF">2017-10-26T17:27:00Z</dcterms:modified>
</cp:coreProperties>
</file>