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8179" w14:textId="77777777" w:rsidR="00BC3024" w:rsidRDefault="00BC3024" w:rsidP="00F1560A">
      <w:pPr>
        <w:tabs>
          <w:tab w:val="left" w:pos="5220"/>
        </w:tabs>
        <w:spacing w:after="0"/>
        <w:jc w:val="center"/>
        <w:rPr>
          <w:rFonts w:ascii="Batang" w:eastAsia="Batang" w:hAnsi="Batang" w:cs="Iskoola Pota"/>
          <w:b/>
          <w:sz w:val="32"/>
          <w:szCs w:val="32"/>
        </w:rPr>
      </w:pPr>
      <w:bookmarkStart w:id="0" w:name="_GoBack"/>
      <w:bookmarkEnd w:id="0"/>
      <w:r>
        <w:rPr>
          <w:rFonts w:ascii="Batang" w:eastAsia="Batang" w:hAnsi="Batang" w:cs="Iskoola Pota"/>
          <w:b/>
          <w:sz w:val="32"/>
          <w:szCs w:val="32"/>
        </w:rPr>
        <w:t>SECOND CALL FOR PAPERS</w:t>
      </w:r>
    </w:p>
    <w:p w14:paraId="6A3EEAC7" w14:textId="77777777" w:rsidR="00BC3024" w:rsidRDefault="00BC3024" w:rsidP="00F1560A">
      <w:pPr>
        <w:tabs>
          <w:tab w:val="left" w:pos="5220"/>
        </w:tabs>
        <w:spacing w:after="0"/>
        <w:jc w:val="center"/>
        <w:rPr>
          <w:rFonts w:ascii="Batang" w:eastAsia="Batang" w:hAnsi="Batang" w:cs="Iskoola Pota"/>
          <w:b/>
          <w:sz w:val="32"/>
          <w:szCs w:val="32"/>
        </w:rPr>
      </w:pPr>
    </w:p>
    <w:p w14:paraId="0AC1BCD2" w14:textId="77777777" w:rsidR="00F1560A" w:rsidRDefault="00F1560A" w:rsidP="006C0D53">
      <w:pPr>
        <w:tabs>
          <w:tab w:val="left" w:pos="5220"/>
        </w:tabs>
        <w:spacing w:after="0" w:line="240" w:lineRule="auto"/>
        <w:contextualSpacing/>
        <w:jc w:val="center"/>
        <w:rPr>
          <w:rFonts w:ascii="Batang" w:eastAsia="Batang" w:hAnsi="Batang" w:cs="Iskoola Pota"/>
          <w:b/>
          <w:sz w:val="32"/>
          <w:szCs w:val="32"/>
        </w:rPr>
      </w:pPr>
      <w:r w:rsidRPr="00DF46E7">
        <w:rPr>
          <w:rFonts w:ascii="Book Antiqua" w:hAnsi="Book Antiqua" w:cs="Iskoola Pota"/>
          <w:noProof/>
          <w:sz w:val="24"/>
          <w:szCs w:val="24"/>
          <w:lang w:eastAsia="en-GB"/>
        </w:rPr>
        <w:drawing>
          <wp:inline distT="0" distB="0" distL="0" distR="0" wp14:anchorId="39F9ECCB" wp14:editId="43FDF73F">
            <wp:extent cx="2460529" cy="508635"/>
            <wp:effectExtent l="0" t="0" r="3810" b="0"/>
            <wp:docPr id="4" name="Picture 3" descr="logosoil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oillse.png"/>
                    <pic:cNvPicPr>
                      <a:picLocks noChangeAspect="1"/>
                    </pic:cNvPicPr>
                  </pic:nvPicPr>
                  <pic:blipFill>
                    <a:blip r:embed="rId6"/>
                    <a:stretch>
                      <a:fillRect/>
                    </a:stretch>
                  </pic:blipFill>
                  <pic:spPr>
                    <a:xfrm>
                      <a:off x="0" y="0"/>
                      <a:ext cx="2756849" cy="569890"/>
                    </a:xfrm>
                    <a:prstGeom prst="rect">
                      <a:avLst/>
                    </a:prstGeom>
                  </pic:spPr>
                </pic:pic>
              </a:graphicData>
            </a:graphic>
          </wp:inline>
        </w:drawing>
      </w:r>
      <w:r w:rsidR="00BC3024" w:rsidRPr="00C47B47">
        <w:rPr>
          <w:rFonts w:ascii="Batang" w:eastAsia="Batang" w:hAnsi="Batang" w:cs="Iskoola Pota"/>
          <w:b/>
          <w:noProof/>
          <w:sz w:val="32"/>
          <w:szCs w:val="32"/>
          <w:lang w:eastAsia="en-GB"/>
        </w:rPr>
        <w:drawing>
          <wp:inline distT="0" distB="0" distL="0" distR="0" wp14:anchorId="0102FB04" wp14:editId="6A6474BC">
            <wp:extent cx="2298700" cy="57398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574" cy="574702"/>
                    </a:xfrm>
                    <a:prstGeom prst="rect">
                      <a:avLst/>
                    </a:prstGeom>
                    <a:noFill/>
                    <a:ln>
                      <a:noFill/>
                    </a:ln>
                  </pic:spPr>
                </pic:pic>
              </a:graphicData>
            </a:graphic>
          </wp:inline>
        </w:drawing>
      </w:r>
    </w:p>
    <w:p w14:paraId="786FD37B" w14:textId="77777777" w:rsidR="006C0D53" w:rsidRDefault="006C0D53" w:rsidP="006C0D53">
      <w:pPr>
        <w:tabs>
          <w:tab w:val="left" w:pos="5220"/>
        </w:tabs>
        <w:spacing w:after="0" w:line="240" w:lineRule="auto"/>
        <w:contextualSpacing/>
        <w:jc w:val="center"/>
        <w:rPr>
          <w:rFonts w:ascii="Batang" w:eastAsia="Batang" w:hAnsi="Batang" w:cs="Iskoola Pota"/>
          <w:b/>
          <w:sz w:val="32"/>
          <w:szCs w:val="32"/>
        </w:rPr>
      </w:pPr>
    </w:p>
    <w:p w14:paraId="75110001" w14:textId="283A1CFA" w:rsidR="006C0D53" w:rsidRPr="006C0D53" w:rsidRDefault="006C0D53" w:rsidP="006C0D53">
      <w:pPr>
        <w:tabs>
          <w:tab w:val="left" w:pos="5220"/>
        </w:tabs>
        <w:spacing w:after="0" w:line="240" w:lineRule="auto"/>
        <w:contextualSpacing/>
        <w:jc w:val="center"/>
        <w:rPr>
          <w:rFonts w:ascii="Batang" w:eastAsia="Batang" w:hAnsi="Batang" w:cs="Iskoola Pota"/>
          <w:b/>
          <w:sz w:val="24"/>
          <w:szCs w:val="24"/>
        </w:rPr>
      </w:pPr>
      <w:proofErr w:type="spellStart"/>
      <w:r w:rsidRPr="006C0D53">
        <w:rPr>
          <w:rFonts w:ascii="Batang" w:eastAsia="Batang" w:hAnsi="Batang" w:cs="Iskoola Pota"/>
          <w:b/>
          <w:sz w:val="24"/>
          <w:szCs w:val="24"/>
        </w:rPr>
        <w:t>Soillse</w:t>
      </w:r>
      <w:proofErr w:type="spellEnd"/>
      <w:r w:rsidRPr="006C0D53">
        <w:rPr>
          <w:rFonts w:ascii="Batang" w:eastAsia="Batang" w:hAnsi="Batang" w:cs="Iskoola Pota"/>
          <w:b/>
          <w:sz w:val="24"/>
          <w:szCs w:val="24"/>
        </w:rPr>
        <w:t xml:space="preserve"> in association with the Foundation for Endangered Languages</w:t>
      </w:r>
    </w:p>
    <w:p w14:paraId="457586AD" w14:textId="77777777" w:rsidR="00F1560A" w:rsidRDefault="00F1560A" w:rsidP="00BC3024">
      <w:pPr>
        <w:tabs>
          <w:tab w:val="left" w:pos="5220"/>
        </w:tabs>
        <w:spacing w:after="0"/>
        <w:rPr>
          <w:rFonts w:ascii="Batang" w:eastAsia="Batang" w:hAnsi="Batang" w:cs="Iskoola Pota"/>
          <w:b/>
          <w:sz w:val="32"/>
          <w:szCs w:val="32"/>
        </w:rPr>
      </w:pPr>
    </w:p>
    <w:p w14:paraId="48BC7224" w14:textId="77777777" w:rsidR="00F1560A" w:rsidRPr="00BC3024" w:rsidRDefault="00F1560A" w:rsidP="00F1560A">
      <w:pPr>
        <w:tabs>
          <w:tab w:val="left" w:pos="5220"/>
        </w:tabs>
        <w:spacing w:after="0"/>
        <w:jc w:val="center"/>
        <w:rPr>
          <w:rFonts w:ascii="Batang" w:eastAsia="Batang" w:hAnsi="Batang" w:cs="Iskoola Pota"/>
          <w:b/>
          <w:sz w:val="36"/>
          <w:szCs w:val="36"/>
        </w:rPr>
      </w:pPr>
      <w:r w:rsidRPr="00BC3024">
        <w:rPr>
          <w:rFonts w:ascii="Batang" w:eastAsia="Batang" w:hAnsi="Batang" w:cs="Iskoola Pota"/>
          <w:b/>
          <w:sz w:val="36"/>
          <w:szCs w:val="36"/>
        </w:rPr>
        <w:t>Small Language Planning:  Communities in Crisis</w:t>
      </w:r>
    </w:p>
    <w:p w14:paraId="00739A03" w14:textId="77777777" w:rsidR="00F1560A" w:rsidRPr="00E76851" w:rsidRDefault="000A5CC1" w:rsidP="00F1560A">
      <w:pPr>
        <w:spacing w:after="0"/>
        <w:jc w:val="center"/>
        <w:rPr>
          <w:rFonts w:ascii="Book Antiqua" w:eastAsia="Batang" w:hAnsi="Book Antiqua" w:cs="Iskoola Pota"/>
          <w:b/>
        </w:rPr>
      </w:pPr>
      <w:hyperlink r:id="rId8" w:history="1">
        <w:r w:rsidR="00F1560A" w:rsidRPr="00A86B58">
          <w:rPr>
            <w:rStyle w:val="Hyperlink"/>
            <w:rFonts w:ascii="Book Antiqua" w:eastAsia="Batang" w:hAnsi="Book Antiqua" w:cs="Iskoola Pota"/>
            <w:b/>
          </w:rPr>
          <w:t>University of Glasgow</w:t>
        </w:r>
      </w:hyperlink>
    </w:p>
    <w:p w14:paraId="6DE80AC7" w14:textId="77777777" w:rsidR="00F1560A" w:rsidRPr="00E76851" w:rsidRDefault="00F1560A" w:rsidP="00F1560A">
      <w:pPr>
        <w:spacing w:after="0"/>
        <w:jc w:val="center"/>
        <w:rPr>
          <w:rFonts w:ascii="Book Antiqua" w:eastAsia="Batang" w:hAnsi="Book Antiqua" w:cs="Iskoola Pota"/>
          <w:b/>
        </w:rPr>
      </w:pPr>
      <w:r w:rsidRPr="00E76851">
        <w:rPr>
          <w:rFonts w:ascii="Book Antiqua" w:eastAsia="Batang" w:hAnsi="Book Antiqua" w:cs="Iskoola Pota"/>
          <w:b/>
        </w:rPr>
        <w:t>6</w:t>
      </w:r>
      <w:r w:rsidRPr="00E76851">
        <w:rPr>
          <w:rFonts w:ascii="Book Antiqua" w:eastAsia="Batang" w:hAnsi="Book Antiqua" w:cs="Iskoola Pota"/>
          <w:b/>
          <w:vertAlign w:val="superscript"/>
        </w:rPr>
        <w:t>th</w:t>
      </w:r>
      <w:r w:rsidRPr="00E76851">
        <w:rPr>
          <w:rFonts w:ascii="Book Antiqua" w:eastAsia="Batang" w:hAnsi="Book Antiqua" w:cs="Iskoola Pota"/>
          <w:b/>
        </w:rPr>
        <w:t>-8</w:t>
      </w:r>
      <w:r w:rsidRPr="00E76851">
        <w:rPr>
          <w:rFonts w:ascii="Book Antiqua" w:eastAsia="Batang" w:hAnsi="Book Antiqua" w:cs="Iskoola Pota"/>
          <w:b/>
          <w:vertAlign w:val="superscript"/>
        </w:rPr>
        <w:t>th</w:t>
      </w:r>
      <w:r w:rsidRPr="00E76851">
        <w:rPr>
          <w:rFonts w:ascii="Book Antiqua" w:eastAsia="Batang" w:hAnsi="Book Antiqua" w:cs="Iskoola Pota"/>
          <w:b/>
        </w:rPr>
        <w:t xml:space="preserve"> June 2016</w:t>
      </w:r>
    </w:p>
    <w:p w14:paraId="79F25C24" w14:textId="77777777" w:rsidR="00F1560A" w:rsidRPr="00E76851" w:rsidRDefault="00F1560A" w:rsidP="00F1560A">
      <w:pPr>
        <w:tabs>
          <w:tab w:val="left" w:pos="720"/>
          <w:tab w:val="left" w:pos="1440"/>
          <w:tab w:val="left" w:pos="2160"/>
          <w:tab w:val="left" w:pos="2880"/>
          <w:tab w:val="left" w:pos="3600"/>
          <w:tab w:val="left" w:pos="4035"/>
        </w:tabs>
        <w:spacing w:after="0"/>
        <w:jc w:val="center"/>
        <w:rPr>
          <w:rFonts w:ascii="Book Antiqua" w:eastAsia="Batang" w:hAnsi="Book Antiqua" w:cs="Iskoola Pota"/>
          <w:b/>
        </w:rPr>
      </w:pPr>
      <w:r w:rsidRPr="00E76851">
        <w:rPr>
          <w:rFonts w:ascii="Book Antiqua" w:eastAsia="Batang" w:hAnsi="Book Antiqua" w:cs="Iskoola Pota"/>
          <w:b/>
        </w:rPr>
        <w:t>Confirmed Plenary Speakers:</w:t>
      </w:r>
    </w:p>
    <w:p w14:paraId="61C5D360" w14:textId="77777777" w:rsidR="00F1560A" w:rsidRPr="00E76851" w:rsidRDefault="000A5CC1" w:rsidP="00F1560A">
      <w:pPr>
        <w:spacing w:after="0"/>
        <w:jc w:val="center"/>
        <w:rPr>
          <w:rFonts w:ascii="Book Antiqua" w:eastAsia="Batang" w:hAnsi="Book Antiqua" w:cs="Iskoola Pota"/>
          <w:b/>
        </w:rPr>
      </w:pPr>
      <w:hyperlink r:id="rId9" w:history="1">
        <w:r w:rsidR="00F1560A" w:rsidRPr="00A86B58">
          <w:rPr>
            <w:rStyle w:val="Hyperlink"/>
            <w:rFonts w:ascii="Book Antiqua" w:eastAsia="Batang" w:hAnsi="Book Antiqua" w:cs="Iskoola Pota"/>
            <w:b/>
          </w:rPr>
          <w:t>François Grin</w:t>
        </w:r>
      </w:hyperlink>
      <w:r w:rsidR="00F1560A" w:rsidRPr="00E76851">
        <w:rPr>
          <w:rFonts w:ascii="Book Antiqua" w:eastAsia="Batang" w:hAnsi="Book Antiqua" w:cs="Iskoola Pota"/>
          <w:b/>
        </w:rPr>
        <w:t xml:space="preserve"> (University of Geneva)</w:t>
      </w:r>
    </w:p>
    <w:p w14:paraId="7D4B0547" w14:textId="77777777" w:rsidR="00F1560A" w:rsidRPr="00E76851" w:rsidRDefault="000A5CC1" w:rsidP="00F1560A">
      <w:pPr>
        <w:spacing w:after="0"/>
        <w:jc w:val="center"/>
        <w:rPr>
          <w:rFonts w:ascii="Book Antiqua" w:eastAsia="Batang" w:hAnsi="Book Antiqua" w:cs="Iskoola Pota"/>
          <w:b/>
        </w:rPr>
      </w:pPr>
      <w:hyperlink r:id="rId10" w:history="1">
        <w:r w:rsidR="00F1560A" w:rsidRPr="00A86B58">
          <w:rPr>
            <w:rStyle w:val="Hyperlink"/>
            <w:rFonts w:ascii="Book Antiqua" w:eastAsia="Batang" w:hAnsi="Book Antiqua" w:cs="Iskoola Pota"/>
            <w:b/>
          </w:rPr>
          <w:t>Leena Huss</w:t>
        </w:r>
      </w:hyperlink>
      <w:r w:rsidR="00F1560A" w:rsidRPr="00E76851">
        <w:rPr>
          <w:rFonts w:ascii="Book Antiqua" w:eastAsia="Batang" w:hAnsi="Book Antiqua" w:cs="Iskoola Pota"/>
          <w:b/>
        </w:rPr>
        <w:t xml:space="preserve"> (Uppsala University)</w:t>
      </w:r>
    </w:p>
    <w:p w14:paraId="42167B37" w14:textId="77777777" w:rsidR="00F1560A" w:rsidRPr="00E76851" w:rsidRDefault="000A5CC1" w:rsidP="00F1560A">
      <w:pPr>
        <w:spacing w:after="0"/>
        <w:jc w:val="center"/>
        <w:rPr>
          <w:rFonts w:ascii="Book Antiqua" w:hAnsi="Book Antiqua" w:cs="Iskoola Pota"/>
          <w:b/>
        </w:rPr>
      </w:pPr>
      <w:hyperlink r:id="rId11" w:history="1">
        <w:r w:rsidR="00F1560A" w:rsidRPr="00B018D0">
          <w:rPr>
            <w:rStyle w:val="Hyperlink"/>
            <w:rFonts w:ascii="Book Antiqua" w:eastAsia="Batang" w:hAnsi="Book Antiqua" w:cs="Iskoola Pota"/>
            <w:b/>
          </w:rPr>
          <w:t xml:space="preserve">Brian Ó </w:t>
        </w:r>
        <w:proofErr w:type="spellStart"/>
        <w:r w:rsidR="00F1560A" w:rsidRPr="00B018D0">
          <w:rPr>
            <w:rStyle w:val="Hyperlink"/>
            <w:rFonts w:ascii="Book Antiqua" w:eastAsia="Batang" w:hAnsi="Book Antiqua" w:cs="Iskoola Pota"/>
            <w:b/>
          </w:rPr>
          <w:t>Curnáin</w:t>
        </w:r>
        <w:proofErr w:type="spellEnd"/>
      </w:hyperlink>
      <w:r w:rsidR="00F1560A" w:rsidRPr="00E76851">
        <w:rPr>
          <w:rFonts w:ascii="Book Antiqua" w:eastAsia="Batang" w:hAnsi="Book Antiqua" w:cs="Iskoola Pota"/>
          <w:b/>
        </w:rPr>
        <w:t xml:space="preserve"> (Dublin Institute for Advanced Studies)</w:t>
      </w:r>
    </w:p>
    <w:p w14:paraId="7381C1B9" w14:textId="77777777" w:rsidR="00F1560A" w:rsidRPr="006222C7" w:rsidRDefault="00F1560A" w:rsidP="00F1560A">
      <w:pPr>
        <w:tabs>
          <w:tab w:val="left" w:pos="735"/>
        </w:tabs>
        <w:spacing w:after="0"/>
        <w:rPr>
          <w:rFonts w:ascii="Book Antiqua" w:hAnsi="Book Antiqua" w:cs="Iskoola Pota"/>
          <w:b/>
          <w:sz w:val="24"/>
          <w:szCs w:val="24"/>
        </w:rPr>
      </w:pPr>
      <w:r w:rsidRPr="006222C7">
        <w:rPr>
          <w:rFonts w:ascii="Book Antiqua" w:hAnsi="Book Antiqua" w:cs="Iskoola Pota"/>
          <w:b/>
          <w:sz w:val="24"/>
          <w:szCs w:val="24"/>
        </w:rPr>
        <w:tab/>
      </w:r>
    </w:p>
    <w:p w14:paraId="53F1C0C1" w14:textId="1D80A5BF" w:rsidR="00F1560A" w:rsidRPr="006222C7" w:rsidRDefault="00F1560A" w:rsidP="00F1560A">
      <w:pPr>
        <w:rPr>
          <w:rFonts w:ascii="Ebrima" w:hAnsi="Ebrima" w:cs="Times New Roman"/>
          <w:sz w:val="20"/>
          <w:szCs w:val="20"/>
          <w:shd w:val="clear" w:color="auto" w:fill="FFFFFF"/>
        </w:rPr>
      </w:pPr>
      <w:r w:rsidRPr="006222C7">
        <w:rPr>
          <w:rFonts w:ascii="Ebrima" w:hAnsi="Ebrima" w:cs="Times New Roman"/>
          <w:sz w:val="20"/>
          <w:szCs w:val="20"/>
          <w:shd w:val="clear" w:color="auto" w:fill="FFFFFF"/>
        </w:rPr>
        <w:t xml:space="preserve">Building on the success of the </w:t>
      </w:r>
      <w:proofErr w:type="spellStart"/>
      <w:r w:rsidRPr="006222C7">
        <w:rPr>
          <w:rFonts w:ascii="Ebrima" w:hAnsi="Ebrima" w:cs="Times New Roman"/>
          <w:sz w:val="20"/>
          <w:szCs w:val="20"/>
          <w:shd w:val="clear" w:color="auto" w:fill="FFFFFF"/>
        </w:rPr>
        <w:t>Soillse</w:t>
      </w:r>
      <w:proofErr w:type="spellEnd"/>
      <w:r w:rsidRPr="006222C7">
        <w:rPr>
          <w:rFonts w:ascii="Ebrima" w:hAnsi="Ebrima" w:cs="Times New Roman"/>
          <w:sz w:val="20"/>
          <w:szCs w:val="20"/>
          <w:shd w:val="clear" w:color="auto" w:fill="FFFFFF"/>
        </w:rPr>
        <w:t xml:space="preserve"> conferences held in 2011 and 2015,</w:t>
      </w:r>
      <w:r w:rsidR="006C0D53">
        <w:rPr>
          <w:rFonts w:ascii="Ebrima" w:hAnsi="Ebrima" w:cs="Times New Roman"/>
          <w:sz w:val="20"/>
          <w:szCs w:val="20"/>
          <w:shd w:val="clear" w:color="auto" w:fill="FFFFFF"/>
        </w:rPr>
        <w:t xml:space="preserve"> and as part of </w:t>
      </w:r>
      <w:proofErr w:type="spellStart"/>
      <w:r w:rsidR="006C0D53">
        <w:rPr>
          <w:rFonts w:ascii="Ebrima" w:hAnsi="Ebrima" w:cs="Times New Roman"/>
          <w:sz w:val="20"/>
          <w:szCs w:val="20"/>
          <w:shd w:val="clear" w:color="auto" w:fill="FFFFFF"/>
        </w:rPr>
        <w:t>of</w:t>
      </w:r>
      <w:proofErr w:type="spellEnd"/>
      <w:r w:rsidR="006C0D53">
        <w:rPr>
          <w:rFonts w:ascii="Ebrima" w:hAnsi="Ebrima" w:cs="Times New Roman"/>
          <w:sz w:val="20"/>
          <w:szCs w:val="20"/>
          <w:shd w:val="clear" w:color="auto" w:fill="FFFFFF"/>
        </w:rPr>
        <w:t xml:space="preserve"> the Foundation for Endangered Languages’ 20</w:t>
      </w:r>
      <w:r w:rsidR="006C0D53" w:rsidRPr="006C0D53">
        <w:rPr>
          <w:rFonts w:ascii="Ebrima" w:hAnsi="Ebrima" w:cs="Times New Roman"/>
          <w:sz w:val="20"/>
          <w:szCs w:val="20"/>
          <w:shd w:val="clear" w:color="auto" w:fill="FFFFFF"/>
          <w:vertAlign w:val="superscript"/>
        </w:rPr>
        <w:t>th</w:t>
      </w:r>
      <w:r w:rsidR="006C0D53">
        <w:rPr>
          <w:rFonts w:ascii="Ebrima" w:hAnsi="Ebrima" w:cs="Times New Roman"/>
          <w:sz w:val="20"/>
          <w:szCs w:val="20"/>
          <w:shd w:val="clear" w:color="auto" w:fill="FFFFFF"/>
        </w:rPr>
        <w:t xml:space="preserve"> anniversary celebrations,</w:t>
      </w:r>
      <w:r w:rsidRPr="006222C7">
        <w:rPr>
          <w:rFonts w:ascii="Ebrima" w:hAnsi="Ebrima" w:cs="Times New Roman"/>
          <w:sz w:val="20"/>
          <w:szCs w:val="20"/>
          <w:shd w:val="clear" w:color="auto" w:fill="FFFFFF"/>
        </w:rPr>
        <w:t xml:space="preserve"> this conference aims to provide a forum for minority language researchers, policy makers, practitioners and activists to exchange research findings and experiences in order to stimulate fresh perspectives on minority language revitalisation.  Although not limited to small language planning, the particular focus of this year’s conference lies in issues pertinent to language planning at the </w:t>
      </w:r>
      <w:proofErr w:type="spellStart"/>
      <w:r w:rsidRPr="006222C7">
        <w:rPr>
          <w:rFonts w:ascii="Ebrima" w:hAnsi="Ebrima" w:cs="Times New Roman"/>
          <w:sz w:val="20"/>
          <w:szCs w:val="20"/>
          <w:shd w:val="clear" w:color="auto" w:fill="FFFFFF"/>
        </w:rPr>
        <w:t>meso</w:t>
      </w:r>
      <w:proofErr w:type="spellEnd"/>
      <w:r w:rsidRPr="006222C7">
        <w:rPr>
          <w:rFonts w:ascii="Ebrima" w:hAnsi="Ebrima" w:cs="Times New Roman"/>
          <w:sz w:val="20"/>
          <w:szCs w:val="20"/>
          <w:shd w:val="clear" w:color="auto" w:fill="FFFFFF"/>
        </w:rPr>
        <w:t xml:space="preserve"> and micro levels, </w:t>
      </w:r>
      <w:r w:rsidRPr="006222C7">
        <w:rPr>
          <w:rFonts w:ascii="Ebrima" w:hAnsi="Ebrima"/>
          <w:sz w:val="20"/>
          <w:szCs w:val="20"/>
          <w:shd w:val="clear" w:color="auto" w:fill="FFFFFF"/>
        </w:rPr>
        <w:t xml:space="preserve">strategic interventions in </w:t>
      </w:r>
      <w:proofErr w:type="gramStart"/>
      <w:r w:rsidRPr="006222C7">
        <w:rPr>
          <w:rFonts w:ascii="Ebrima" w:hAnsi="Ebrima"/>
          <w:sz w:val="20"/>
          <w:szCs w:val="20"/>
          <w:shd w:val="clear" w:color="auto" w:fill="FFFFFF"/>
        </w:rPr>
        <w:t>support</w:t>
      </w:r>
      <w:proofErr w:type="gramEnd"/>
      <w:r w:rsidRPr="006222C7">
        <w:rPr>
          <w:rFonts w:ascii="Ebrima" w:hAnsi="Ebrima"/>
          <w:sz w:val="20"/>
          <w:szCs w:val="20"/>
          <w:shd w:val="clear" w:color="auto" w:fill="FFFFFF"/>
        </w:rPr>
        <w:t xml:space="preserve"> of minority language groups with weaker demographic densities, </w:t>
      </w:r>
      <w:r w:rsidRPr="006222C7">
        <w:rPr>
          <w:rFonts w:ascii="Ebrima" w:hAnsi="Ebrima" w:cs="Times New Roman"/>
          <w:sz w:val="20"/>
          <w:szCs w:val="20"/>
          <w:shd w:val="clear" w:color="auto" w:fill="FFFFFF"/>
        </w:rPr>
        <w:t xml:space="preserve">as well as to minority languages considered ‘stateless’ and/or without state support. </w:t>
      </w:r>
    </w:p>
    <w:p w14:paraId="7C7C9157" w14:textId="77777777" w:rsidR="00F1560A" w:rsidRPr="006222C7" w:rsidRDefault="00F1560A" w:rsidP="00F1560A">
      <w:pPr>
        <w:rPr>
          <w:rFonts w:ascii="Ebrima" w:hAnsi="Ebrima" w:cs="Times New Roman"/>
          <w:sz w:val="20"/>
          <w:szCs w:val="20"/>
          <w:shd w:val="clear" w:color="auto" w:fill="FFFFFF"/>
        </w:rPr>
      </w:pPr>
      <w:r w:rsidRPr="006222C7">
        <w:rPr>
          <w:rFonts w:ascii="Ebrima" w:hAnsi="Ebrima" w:cs="Times New Roman"/>
          <w:sz w:val="20"/>
          <w:szCs w:val="20"/>
          <w:shd w:val="clear" w:color="auto" w:fill="FFFFFF"/>
        </w:rPr>
        <w:t xml:space="preserve">Presentations may take one of four formats: paper presentations (20 minute paper + 10 minute for questions); poster presentations; panels; or discussion groups. Both panels and discussion groups will be scheduled for 90-minute blocks in length.  Panels are intended to be a series of linked papers on a particular theme, while discussion groups are intended to serve as a more informal platform to raise and debate key issues in language planning. Facilitators are encouraged to be creative in </w:t>
      </w:r>
      <w:proofErr w:type="spellStart"/>
      <w:r>
        <w:rPr>
          <w:rFonts w:ascii="Ebrima" w:hAnsi="Ebrima" w:cs="Times New Roman"/>
          <w:sz w:val="20"/>
          <w:szCs w:val="20"/>
          <w:shd w:val="clear" w:color="auto" w:fill="FFFFFF"/>
        </w:rPr>
        <w:t>h</w:t>
      </w:r>
      <w:r w:rsidRPr="006222C7">
        <w:rPr>
          <w:rFonts w:ascii="Ebrima" w:hAnsi="Ebrima" w:cs="Times New Roman"/>
          <w:sz w:val="20"/>
          <w:szCs w:val="20"/>
          <w:shd w:val="clear" w:color="auto" w:fill="FFFFFF"/>
        </w:rPr>
        <w:t>how</w:t>
      </w:r>
      <w:proofErr w:type="spellEnd"/>
      <w:r w:rsidRPr="006222C7">
        <w:rPr>
          <w:rFonts w:ascii="Ebrima" w:hAnsi="Ebrima" w:cs="Times New Roman"/>
          <w:sz w:val="20"/>
          <w:szCs w:val="20"/>
          <w:shd w:val="clear" w:color="auto" w:fill="FFFFFF"/>
        </w:rPr>
        <w:t xml:space="preserve"> they mediate the various discussion groups.</w:t>
      </w:r>
    </w:p>
    <w:p w14:paraId="51E09FA7" w14:textId="77777777" w:rsidR="00F1560A" w:rsidRPr="006222C7" w:rsidRDefault="00F1560A" w:rsidP="00F1560A">
      <w:pPr>
        <w:rPr>
          <w:rFonts w:ascii="Ebrima" w:hAnsi="Ebrima" w:cs="Times New Roman"/>
          <w:sz w:val="20"/>
          <w:szCs w:val="20"/>
          <w:shd w:val="clear" w:color="auto" w:fill="FFFFFF"/>
        </w:rPr>
      </w:pPr>
      <w:r w:rsidRPr="006222C7">
        <w:rPr>
          <w:rFonts w:ascii="Ebrima" w:hAnsi="Ebrima" w:cs="Times New Roman"/>
          <w:sz w:val="20"/>
          <w:szCs w:val="20"/>
          <w:shd w:val="clear" w:color="auto" w:fill="FFFFFF"/>
        </w:rPr>
        <w:t>Abstracts for paper or poster presentations should be no more than 300 words, not including references.  Abstracts for panels should include each individual abstract plus a rationale of no more than 300 words for the panel as a whole.  Discussion groups should also be no more than 300 words and should include the names of at least three confirmed discussants as well as the facilitator(s).  Participants should clearly mark what format is intended for their presentation under the title of their abstracts. If intended as a traditional paper presentation, please indicate whether or not you would be happy to give the paper in poster form instead.  Abstracts addressing any aspects of minority language planning will be considered, but we particularly welcome abstracts addressing the following themes:</w:t>
      </w:r>
      <w:r w:rsidRPr="006222C7">
        <w:rPr>
          <w:rFonts w:ascii="Ebrima" w:hAnsi="Ebrima" w:cs="Times New Roman"/>
          <w:sz w:val="20"/>
          <w:szCs w:val="20"/>
          <w:shd w:val="clear" w:color="auto" w:fill="FFFFFF"/>
        </w:rPr>
        <w:tab/>
      </w:r>
    </w:p>
    <w:p w14:paraId="3159BCFC" w14:textId="52344F26" w:rsidR="00F1560A" w:rsidRPr="006222C7" w:rsidRDefault="00DE2A17" w:rsidP="00F1560A">
      <w:pPr>
        <w:pStyle w:val="ListParagraph"/>
        <w:numPr>
          <w:ilvl w:val="0"/>
          <w:numId w:val="1"/>
        </w:numPr>
        <w:rPr>
          <w:rFonts w:ascii="Ebrima" w:hAnsi="Ebrima" w:cs="Times New Roman"/>
          <w:sz w:val="20"/>
          <w:szCs w:val="20"/>
        </w:rPr>
      </w:pPr>
      <w:r>
        <w:rPr>
          <w:rFonts w:ascii="Ebrima" w:hAnsi="Ebrima" w:cs="Times New Roman"/>
          <w:sz w:val="20"/>
          <w:szCs w:val="20"/>
        </w:rPr>
        <w:t xml:space="preserve">Language planning at the micro and </w:t>
      </w:r>
      <w:proofErr w:type="spellStart"/>
      <w:r>
        <w:rPr>
          <w:rFonts w:ascii="Ebrima" w:hAnsi="Ebrima" w:cs="Times New Roman"/>
          <w:sz w:val="20"/>
          <w:szCs w:val="20"/>
        </w:rPr>
        <w:t>meso</w:t>
      </w:r>
      <w:proofErr w:type="spellEnd"/>
      <w:r>
        <w:rPr>
          <w:rFonts w:ascii="Ebrima" w:hAnsi="Ebrima" w:cs="Times New Roman"/>
          <w:sz w:val="20"/>
          <w:szCs w:val="20"/>
        </w:rPr>
        <w:t xml:space="preserve"> l</w:t>
      </w:r>
      <w:r w:rsidR="00F1560A" w:rsidRPr="006222C7">
        <w:rPr>
          <w:rFonts w:ascii="Ebrima" w:hAnsi="Ebrima" w:cs="Times New Roman"/>
          <w:sz w:val="20"/>
          <w:szCs w:val="20"/>
        </w:rPr>
        <w:t>evels</w:t>
      </w:r>
    </w:p>
    <w:p w14:paraId="5AB3D7ED" w14:textId="77777777" w:rsidR="00F1560A" w:rsidRPr="006222C7" w:rsidRDefault="00F1560A" w:rsidP="00F1560A">
      <w:pPr>
        <w:pStyle w:val="ListParagraph"/>
        <w:numPr>
          <w:ilvl w:val="0"/>
          <w:numId w:val="1"/>
        </w:numPr>
        <w:rPr>
          <w:rFonts w:ascii="Ebrima" w:hAnsi="Ebrima" w:cs="Times New Roman"/>
          <w:sz w:val="20"/>
          <w:szCs w:val="20"/>
        </w:rPr>
      </w:pPr>
      <w:r w:rsidRPr="006222C7">
        <w:rPr>
          <w:rFonts w:ascii="Ebrima" w:hAnsi="Ebrima" w:cs="Times New Roman"/>
          <w:sz w:val="20"/>
          <w:szCs w:val="20"/>
        </w:rPr>
        <w:t>Comparative analysis of minority language communities</w:t>
      </w:r>
    </w:p>
    <w:p w14:paraId="406F8AC5" w14:textId="77777777" w:rsidR="00F1560A" w:rsidRPr="006222C7" w:rsidRDefault="00F1560A" w:rsidP="00F1560A">
      <w:pPr>
        <w:pStyle w:val="ListParagraph"/>
        <w:numPr>
          <w:ilvl w:val="0"/>
          <w:numId w:val="1"/>
        </w:numPr>
        <w:rPr>
          <w:rFonts w:ascii="Ebrima" w:hAnsi="Ebrima" w:cs="Times New Roman"/>
          <w:sz w:val="20"/>
          <w:szCs w:val="20"/>
        </w:rPr>
      </w:pPr>
      <w:r w:rsidRPr="006222C7">
        <w:rPr>
          <w:rFonts w:ascii="Ebrima" w:hAnsi="Ebrima" w:cs="Times New Roman"/>
          <w:sz w:val="20"/>
          <w:szCs w:val="20"/>
        </w:rPr>
        <w:t>The challenge of prioritisation in small language planning</w:t>
      </w:r>
    </w:p>
    <w:p w14:paraId="122B8215" w14:textId="77777777" w:rsidR="00F1560A" w:rsidRPr="006222C7" w:rsidRDefault="00F1560A" w:rsidP="00F1560A">
      <w:pPr>
        <w:pStyle w:val="ListParagraph"/>
        <w:numPr>
          <w:ilvl w:val="0"/>
          <w:numId w:val="1"/>
        </w:numPr>
        <w:rPr>
          <w:rFonts w:ascii="Ebrima" w:hAnsi="Ebrima" w:cs="Times New Roman"/>
          <w:sz w:val="20"/>
          <w:szCs w:val="20"/>
        </w:rPr>
      </w:pPr>
      <w:r w:rsidRPr="006222C7">
        <w:rPr>
          <w:rFonts w:ascii="Ebrima" w:hAnsi="Ebrima" w:cs="Times New Roman"/>
          <w:sz w:val="20"/>
          <w:szCs w:val="20"/>
        </w:rPr>
        <w:t>The discursive bias and minority language communities</w:t>
      </w:r>
    </w:p>
    <w:p w14:paraId="2A2A234A" w14:textId="77777777" w:rsidR="00F1560A" w:rsidRPr="006222C7" w:rsidRDefault="00F1560A" w:rsidP="00F1560A">
      <w:pPr>
        <w:pStyle w:val="ListParagraph"/>
        <w:numPr>
          <w:ilvl w:val="0"/>
          <w:numId w:val="1"/>
        </w:numPr>
        <w:rPr>
          <w:rFonts w:ascii="Ebrima" w:hAnsi="Ebrima" w:cs="Times New Roman"/>
          <w:sz w:val="20"/>
          <w:szCs w:val="20"/>
        </w:rPr>
      </w:pPr>
      <w:r w:rsidRPr="006222C7">
        <w:rPr>
          <w:rFonts w:ascii="Ebrima" w:hAnsi="Ebrima" w:cs="Times New Roman"/>
          <w:sz w:val="20"/>
          <w:szCs w:val="20"/>
        </w:rPr>
        <w:t>The need for complementary efforts in language planning</w:t>
      </w:r>
    </w:p>
    <w:p w14:paraId="2D98A88C" w14:textId="77777777" w:rsidR="00F1560A" w:rsidRPr="006222C7" w:rsidRDefault="00F1560A" w:rsidP="00F1560A">
      <w:pPr>
        <w:pStyle w:val="ListParagraph"/>
        <w:numPr>
          <w:ilvl w:val="0"/>
          <w:numId w:val="1"/>
        </w:numPr>
        <w:shd w:val="clear" w:color="auto" w:fill="FFFFFF"/>
        <w:spacing w:after="0" w:line="240" w:lineRule="auto"/>
        <w:rPr>
          <w:rFonts w:ascii="Ebrima" w:eastAsia="Times New Roman" w:hAnsi="Ebrima" w:cs="Segoe UI"/>
          <w:sz w:val="20"/>
          <w:szCs w:val="20"/>
          <w:lang w:eastAsia="en-GB"/>
        </w:rPr>
      </w:pPr>
      <w:r w:rsidRPr="006222C7">
        <w:rPr>
          <w:rFonts w:ascii="Ebrima" w:eastAsia="Times New Roman" w:hAnsi="Ebrima" w:cs="Times New Roman"/>
          <w:sz w:val="20"/>
          <w:szCs w:val="20"/>
          <w:lang w:eastAsia="en-GB"/>
        </w:rPr>
        <w:t>Sociological theory and minority language sustainability</w:t>
      </w:r>
    </w:p>
    <w:p w14:paraId="5486D475" w14:textId="77777777" w:rsidR="00F1560A" w:rsidRPr="006222C7" w:rsidRDefault="00F1560A" w:rsidP="00F1560A">
      <w:pPr>
        <w:pStyle w:val="ListParagraph"/>
        <w:numPr>
          <w:ilvl w:val="0"/>
          <w:numId w:val="1"/>
        </w:numPr>
        <w:shd w:val="clear" w:color="auto" w:fill="FFFFFF"/>
        <w:spacing w:after="0" w:line="240" w:lineRule="auto"/>
        <w:rPr>
          <w:rFonts w:ascii="Ebrima" w:eastAsia="Times New Roman" w:hAnsi="Ebrima" w:cs="Segoe UI"/>
          <w:sz w:val="20"/>
          <w:szCs w:val="20"/>
          <w:lang w:eastAsia="en-GB"/>
        </w:rPr>
      </w:pPr>
      <w:r w:rsidRPr="006222C7">
        <w:rPr>
          <w:rFonts w:ascii="Ebrima" w:eastAsia="Times New Roman" w:hAnsi="Ebrima" w:cs="Times New Roman"/>
          <w:sz w:val="20"/>
          <w:szCs w:val="20"/>
          <w:lang w:eastAsia="en-GB"/>
        </w:rPr>
        <w:t>Challenges to minority language diversity and post-modern culture</w:t>
      </w:r>
    </w:p>
    <w:p w14:paraId="53915EED" w14:textId="77777777" w:rsidR="00F1560A" w:rsidRPr="006222C7" w:rsidRDefault="00F1560A" w:rsidP="00F1560A">
      <w:pPr>
        <w:ind w:left="360"/>
        <w:rPr>
          <w:rFonts w:ascii="Ebrima" w:hAnsi="Ebrima" w:cs="Times New Roman"/>
          <w:sz w:val="20"/>
          <w:szCs w:val="20"/>
        </w:rPr>
      </w:pPr>
    </w:p>
    <w:p w14:paraId="0AF37C73" w14:textId="63A431A4" w:rsidR="004D7E9F" w:rsidRPr="00707DEA" w:rsidRDefault="00F1560A" w:rsidP="00F1560A">
      <w:r w:rsidRPr="006222C7">
        <w:rPr>
          <w:rFonts w:ascii="Ebrima" w:hAnsi="Ebrima" w:cs="Times New Roman"/>
          <w:sz w:val="20"/>
          <w:szCs w:val="20"/>
        </w:rPr>
        <w:lastRenderedPageBreak/>
        <w:t xml:space="preserve">Please e-mail abstracts as Word documents </w:t>
      </w:r>
      <w:proofErr w:type="gramStart"/>
      <w:r w:rsidRPr="006222C7">
        <w:rPr>
          <w:rFonts w:ascii="Ebrima" w:hAnsi="Ebrima" w:cs="Times New Roman"/>
          <w:sz w:val="20"/>
          <w:szCs w:val="20"/>
        </w:rPr>
        <w:t xml:space="preserve">to  </w:t>
      </w:r>
      <w:proofErr w:type="gramEnd"/>
      <w:hyperlink r:id="rId12" w:history="1">
        <w:r w:rsidRPr="006222C7">
          <w:rPr>
            <w:rStyle w:val="Hyperlink"/>
            <w:rFonts w:ascii="Ebrima" w:hAnsi="Ebrima" w:cs="Times New Roman"/>
            <w:sz w:val="20"/>
            <w:szCs w:val="20"/>
          </w:rPr>
          <w:t>soillseconference2016@gmail.com</w:t>
        </w:r>
      </w:hyperlink>
      <w:r w:rsidRPr="006222C7">
        <w:rPr>
          <w:rFonts w:ascii="Ebrima" w:hAnsi="Ebrima" w:cs="Times New Roman"/>
          <w:sz w:val="20"/>
          <w:szCs w:val="20"/>
        </w:rPr>
        <w:t xml:space="preserve"> with ‘Abstract Submission’ in the subject line and your name and affiliation in the body of the e-mail</w:t>
      </w:r>
      <w:r w:rsidR="00707DEA">
        <w:rPr>
          <w:rFonts w:ascii="Ebrima" w:hAnsi="Ebrima" w:cs="Times New Roman"/>
          <w:sz w:val="20"/>
          <w:szCs w:val="20"/>
        </w:rPr>
        <w:t xml:space="preserve"> by </w:t>
      </w:r>
      <w:r w:rsidR="00707DEA" w:rsidRPr="00707DEA">
        <w:rPr>
          <w:rFonts w:ascii="Ebrima" w:hAnsi="Ebrima" w:cs="Times New Roman"/>
          <w:b/>
          <w:sz w:val="20"/>
          <w:szCs w:val="20"/>
        </w:rPr>
        <w:t xml:space="preserve">February 12, 2016.  </w:t>
      </w:r>
      <w:r w:rsidR="00707DEA">
        <w:rPr>
          <w:rFonts w:ascii="Ebrima" w:hAnsi="Ebrima" w:cs="Times New Roman"/>
          <w:sz w:val="20"/>
          <w:szCs w:val="20"/>
        </w:rPr>
        <w:t>Notification of abstract success will be by the end of February and conference registration will open in March.  Further conferen</w:t>
      </w:r>
      <w:r w:rsidR="00DB547F">
        <w:rPr>
          <w:rFonts w:ascii="Ebrima" w:hAnsi="Ebrima" w:cs="Times New Roman"/>
          <w:sz w:val="20"/>
          <w:szCs w:val="20"/>
        </w:rPr>
        <w:t>ce information can be found</w:t>
      </w:r>
      <w:r w:rsidR="00BC540D">
        <w:rPr>
          <w:rFonts w:ascii="Ebrima" w:hAnsi="Ebrima" w:cs="Times New Roman"/>
          <w:color w:val="000000" w:themeColor="text1"/>
          <w:sz w:val="20"/>
          <w:szCs w:val="20"/>
        </w:rPr>
        <w:t xml:space="preserve"> </w:t>
      </w:r>
      <w:hyperlink r:id="rId13" w:history="1">
        <w:r w:rsidR="00BC540D" w:rsidRPr="00BC540D">
          <w:rPr>
            <w:rStyle w:val="Hyperlink"/>
            <w:rFonts w:ascii="Ebrima" w:hAnsi="Ebrima" w:cs="Times New Roman"/>
            <w:sz w:val="20"/>
            <w:szCs w:val="20"/>
          </w:rPr>
          <w:t>here</w:t>
        </w:r>
      </w:hyperlink>
      <w:r w:rsidR="00DB547F">
        <w:rPr>
          <w:rFonts w:ascii="Ebrima" w:hAnsi="Ebrima" w:cs="Times New Roman"/>
          <w:sz w:val="20"/>
          <w:szCs w:val="20"/>
        </w:rPr>
        <w:t>.</w:t>
      </w:r>
    </w:p>
    <w:sectPr w:rsidR="004D7E9F" w:rsidRPr="00707DEA" w:rsidSect="006C0D5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Ebrima">
    <w:altName w:val="Times New Roman"/>
    <w:panose1 w:val="02000000000000000000"/>
    <w:charset w:val="00"/>
    <w:family w:val="auto"/>
    <w:pitch w:val="variable"/>
    <w:sig w:usb0="A000005F" w:usb1="0200004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F46DB"/>
    <w:multiLevelType w:val="hybridMultilevel"/>
    <w:tmpl w:val="88A25A92"/>
    <w:lvl w:ilvl="0" w:tplc="C71293DA">
      <w:numFmt w:val="bullet"/>
      <w:lvlText w:val="-"/>
      <w:lvlJc w:val="left"/>
      <w:pPr>
        <w:ind w:left="720" w:hanging="360"/>
      </w:pPr>
      <w:rPr>
        <w:rFonts w:ascii="Arial" w:eastAsiaTheme="minorHAnsi" w:hAnsi="Arial" w:cs="Arial"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A"/>
    <w:rsid w:val="000A5CC1"/>
    <w:rsid w:val="004D7E9F"/>
    <w:rsid w:val="006C0D53"/>
    <w:rsid w:val="00707DEA"/>
    <w:rsid w:val="008416C3"/>
    <w:rsid w:val="009A7C73"/>
    <w:rsid w:val="00BC3024"/>
    <w:rsid w:val="00BC540D"/>
    <w:rsid w:val="00CA0501"/>
    <w:rsid w:val="00DB547F"/>
    <w:rsid w:val="00DE2A17"/>
    <w:rsid w:val="00F156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2E6B3"/>
  <w15:docId w15:val="{807FF711-B883-4E20-98C8-5A3ABF0A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llowPara">
    <w:name w:val="swallow_Para"/>
    <w:qFormat/>
    <w:rsid w:val="00CA0501"/>
    <w:pPr>
      <w:spacing w:line="480" w:lineRule="auto"/>
      <w:ind w:firstLine="720"/>
    </w:pPr>
    <w:rPr>
      <w:rFonts w:ascii="Times New Roman" w:eastAsia="Times New Roman" w:hAnsi="Times New Roman" w:cs="Times New Roman"/>
      <w:bCs/>
      <w:kern w:val="32"/>
      <w:szCs w:val="32"/>
    </w:rPr>
  </w:style>
  <w:style w:type="paragraph" w:styleId="ListParagraph">
    <w:name w:val="List Paragraph"/>
    <w:basedOn w:val="Normal"/>
    <w:uiPriority w:val="34"/>
    <w:qFormat/>
    <w:rsid w:val="00F1560A"/>
    <w:pPr>
      <w:ind w:left="720"/>
      <w:contextualSpacing/>
    </w:pPr>
  </w:style>
  <w:style w:type="character" w:styleId="Hyperlink">
    <w:name w:val="Hyperlink"/>
    <w:basedOn w:val="DefaultParagraphFont"/>
    <w:uiPriority w:val="99"/>
    <w:unhideWhenUsed/>
    <w:rsid w:val="00F1560A"/>
    <w:rPr>
      <w:color w:val="0000FF" w:themeColor="hyperlink"/>
      <w:u w:val="single"/>
    </w:rPr>
  </w:style>
  <w:style w:type="paragraph" w:styleId="BalloonText">
    <w:name w:val="Balloon Text"/>
    <w:basedOn w:val="Normal"/>
    <w:link w:val="BalloonTextChar"/>
    <w:uiPriority w:val="99"/>
    <w:semiHidden/>
    <w:unhideWhenUsed/>
    <w:rsid w:val="00F156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60A"/>
    <w:rPr>
      <w:rFonts w:ascii="Lucida Grande" w:eastAsiaTheme="minorHAnsi" w:hAnsi="Lucida Grande" w:cs="Lucida Grande"/>
      <w:sz w:val="18"/>
      <w:szCs w:val="18"/>
      <w:lang w:val="en-GB"/>
    </w:rPr>
  </w:style>
  <w:style w:type="character" w:styleId="FollowedHyperlink">
    <w:name w:val="FollowedHyperlink"/>
    <w:basedOn w:val="DefaultParagraphFont"/>
    <w:uiPriority w:val="99"/>
    <w:semiHidden/>
    <w:unhideWhenUsed/>
    <w:rsid w:val="00DB5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 TargetMode="External"/><Relationship Id="rId13" Type="http://schemas.openxmlformats.org/officeDocument/2006/relationships/hyperlink" Target="http://www.soillse.ac.uk/co-labhairt-shoillse-201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oillseconference20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ias.ie/index.php?option=com_content&amp;view=article&amp;id=576%3Adr-brian-o-curnain&amp;catid=19%3Acelticstaff&amp;Itemid=17&amp;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valentin.uu.se/staff/pers_homepages/huss_l.htm" TargetMode="External"/><Relationship Id="rId4" Type="http://schemas.openxmlformats.org/officeDocument/2006/relationships/settings" Target="settings.xml"/><Relationship Id="rId9" Type="http://schemas.openxmlformats.org/officeDocument/2006/relationships/hyperlink" Target="http://www.unige.ch/traduction-interpretation/recherches/groupes/elf/equipe/chercheurs/grin_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8B6E-427C-4363-B6B3-1E5A67E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Smith-Christmas</dc:creator>
  <cp:keywords/>
  <dc:description/>
  <cp:lastModifiedBy>DUNMORE Stuart</cp:lastModifiedBy>
  <cp:revision>2</cp:revision>
  <dcterms:created xsi:type="dcterms:W3CDTF">2016-01-27T10:40:00Z</dcterms:created>
  <dcterms:modified xsi:type="dcterms:W3CDTF">2016-01-27T10:40:00Z</dcterms:modified>
</cp:coreProperties>
</file>